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AF" w:rsidRPr="00826CF9" w:rsidRDefault="004E01B2" w:rsidP="00D448AF">
      <w:pPr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826CF9">
        <w:rPr>
          <w:rFonts w:ascii="Palatino Linotype" w:hAnsi="Palatino Linotype"/>
          <w:b/>
          <w:sz w:val="24"/>
          <w:szCs w:val="24"/>
        </w:rPr>
        <w:t>VOTO</w:t>
      </w:r>
      <w:r w:rsidR="00D448AF" w:rsidRPr="00826CF9">
        <w:rPr>
          <w:rFonts w:ascii="Palatino Linotype" w:hAnsi="Palatino Linotype"/>
          <w:b/>
          <w:sz w:val="24"/>
          <w:szCs w:val="24"/>
        </w:rPr>
        <w:t xml:space="preserve"> PARTICULAR DEL COMISIONADO JOSÉ GUADALUPE LUNA HERNÁND</w:t>
      </w:r>
      <w:r w:rsidR="008444E2" w:rsidRPr="00826CF9">
        <w:rPr>
          <w:rFonts w:ascii="Palatino Linotype" w:hAnsi="Palatino Linotype"/>
          <w:b/>
          <w:sz w:val="24"/>
          <w:szCs w:val="24"/>
        </w:rPr>
        <w:t xml:space="preserve">EZ EN EL RECURSO DE REVISIÓN </w:t>
      </w:r>
      <w:r w:rsidR="0083137A" w:rsidRPr="00826CF9">
        <w:rPr>
          <w:rFonts w:ascii="Palatino Linotype" w:hAnsi="Palatino Linotype"/>
          <w:b/>
          <w:sz w:val="24"/>
          <w:szCs w:val="24"/>
        </w:rPr>
        <w:t>03677/INFOEM/IP/RR/2019</w:t>
      </w:r>
      <w:r w:rsidR="00D448AF" w:rsidRPr="00826CF9">
        <w:rPr>
          <w:rFonts w:ascii="Palatino Linotype" w:hAnsi="Palatino Linotype"/>
          <w:b/>
          <w:sz w:val="24"/>
          <w:szCs w:val="24"/>
        </w:rPr>
        <w:t>.</w:t>
      </w:r>
    </w:p>
    <w:p w:rsidR="00D448AF" w:rsidRPr="00826CF9" w:rsidRDefault="00D448AF" w:rsidP="00D448AF">
      <w:pPr>
        <w:jc w:val="both"/>
        <w:rPr>
          <w:rFonts w:ascii="Palatino Linotype" w:hAnsi="Palatino Linotype"/>
          <w:sz w:val="24"/>
          <w:szCs w:val="24"/>
        </w:rPr>
      </w:pPr>
    </w:p>
    <w:p w:rsidR="00D448AF" w:rsidRPr="00826CF9" w:rsidRDefault="00F43440" w:rsidP="00D448AF">
      <w:pPr>
        <w:jc w:val="both"/>
        <w:rPr>
          <w:rFonts w:ascii="Palatino Linotype" w:hAnsi="Palatino Linotype"/>
          <w:sz w:val="24"/>
          <w:szCs w:val="24"/>
        </w:rPr>
      </w:pPr>
      <w:r w:rsidRPr="00826CF9">
        <w:rPr>
          <w:rFonts w:ascii="Palatino Linotype" w:hAnsi="Palatino Linotype"/>
          <w:sz w:val="24"/>
          <w:szCs w:val="24"/>
        </w:rPr>
        <w:t>Resumen del voto</w:t>
      </w:r>
      <w:r w:rsidR="00D448AF" w:rsidRPr="00826CF9">
        <w:rPr>
          <w:rFonts w:ascii="Palatino Linotype" w:hAnsi="Palatino Linotype"/>
          <w:sz w:val="24"/>
          <w:szCs w:val="24"/>
        </w:rPr>
        <w:t>:</w:t>
      </w:r>
    </w:p>
    <w:p w:rsidR="006633F6" w:rsidRPr="00826CF9" w:rsidRDefault="00F43440" w:rsidP="006633F6">
      <w:pPr>
        <w:spacing w:before="240" w:after="240" w:line="360" w:lineRule="auto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826CF9">
        <w:rPr>
          <w:rFonts w:ascii="Palatino Linotype" w:hAnsi="Palatino Linotype" w:cs="Arial"/>
          <w:sz w:val="24"/>
          <w:szCs w:val="24"/>
        </w:rPr>
        <w:t>Si bien la solicitud de información corresponde al ejercicio del derecho de petición y no al de acceso a la información, al pretender el particular que el Sujeto Obligado conteste una pregunta, contexto que se comparte; lo procesalmente correcto era sobreseer el recurso de revisión, porque si bien es cierto el Sujeto Obligado no se encontraba compelido a dar contestación al cuestionamiento, con el ánimo de satisfacer las pretensiones del particular, realizo un pronunciamiento al respecto al momento de rendir su informe justificado; actualizándose con ello, lo establecido en la fracción III del numeral 192 de la Ley de Transparencia y Acceso a la Información Pública del Estado de México y Municipios.</w:t>
      </w:r>
      <w:r w:rsidR="006633F6" w:rsidRPr="00826CF9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</w:p>
    <w:p w:rsidR="00624990" w:rsidRPr="00826CF9" w:rsidRDefault="00413B2A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826CF9">
        <w:rPr>
          <w:rFonts w:ascii="Palatino Linotype" w:hAnsi="Palatino Linotype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4AA85" wp14:editId="30DE837D">
                <wp:simplePos x="0" y="0"/>
                <wp:positionH relativeFrom="column">
                  <wp:posOffset>-31099</wp:posOffset>
                </wp:positionH>
                <wp:positionV relativeFrom="paragraph">
                  <wp:posOffset>121211</wp:posOffset>
                </wp:positionV>
                <wp:extent cx="5564937" cy="2199048"/>
                <wp:effectExtent l="0" t="0" r="36195" b="2984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4937" cy="2199048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8ACE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9.55pt" to="435.75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" strokecolor="black [3200]" strokeweight=".5pt">
                <v:stroke dashstyle="longDash" joinstyle="miter"/>
              </v:line>
            </w:pict>
          </mc:Fallback>
        </mc:AlternateContent>
      </w:r>
    </w:p>
    <w:p w:rsidR="00624990" w:rsidRPr="00826CF9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826CF9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826CF9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826CF9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826CF9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24990" w:rsidRPr="00826CF9" w:rsidRDefault="00624990" w:rsidP="003C2F4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32733" w:rsidRPr="00826CF9" w:rsidRDefault="00332733" w:rsidP="00332733">
      <w:pPr>
        <w:spacing w:after="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826CF9">
        <w:rPr>
          <w:rFonts w:ascii="Palatino Linotype" w:hAnsi="Palatino Linotype" w:cs="Arial"/>
          <w:b/>
          <w:sz w:val="24"/>
          <w:szCs w:val="24"/>
        </w:rPr>
        <w:lastRenderedPageBreak/>
        <w:t>Índice</w:t>
      </w:r>
    </w:p>
    <w:p w:rsidR="00332733" w:rsidRPr="00826CF9" w:rsidRDefault="00332733" w:rsidP="00332733">
      <w:pPr>
        <w:spacing w:after="0"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sdt>
      <w:sdtPr>
        <w:rPr>
          <w:rFonts w:ascii="Palatino Linotype" w:hAnsi="Palatino Linotype"/>
          <w:sz w:val="24"/>
          <w:szCs w:val="24"/>
          <w:lang w:val="es-ES"/>
        </w:rPr>
        <w:id w:val="-16252363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07E0" w:rsidRPr="00826CF9" w:rsidRDefault="00332733">
          <w:pPr>
            <w:pStyle w:val="TDC1"/>
            <w:rPr>
              <w:rFonts w:ascii="Palatino Linotype" w:eastAsiaTheme="minorEastAsia" w:hAnsi="Palatino Linotype"/>
              <w:noProof/>
              <w:sz w:val="24"/>
              <w:szCs w:val="24"/>
              <w:lang w:eastAsia="es-MX"/>
            </w:rPr>
          </w:pPr>
          <w:r w:rsidRPr="00826CF9">
            <w:rPr>
              <w:rFonts w:ascii="Palatino Linotype" w:eastAsiaTheme="majorEastAsia" w:hAnsi="Palatino Linotype" w:cstheme="majorBidi"/>
              <w:color w:val="000000" w:themeColor="text1"/>
              <w:sz w:val="24"/>
              <w:szCs w:val="24"/>
              <w:lang w:eastAsia="es-MX"/>
            </w:rPr>
            <w:fldChar w:fldCharType="begin"/>
          </w:r>
          <w:r w:rsidRPr="00826CF9">
            <w:rPr>
              <w:rFonts w:ascii="Palatino Linotype" w:hAnsi="Palatino Linotype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826CF9">
            <w:rPr>
              <w:rFonts w:ascii="Palatino Linotype" w:eastAsiaTheme="majorEastAsia" w:hAnsi="Palatino Linotype" w:cstheme="majorBidi"/>
              <w:color w:val="000000" w:themeColor="text1"/>
              <w:sz w:val="24"/>
              <w:szCs w:val="24"/>
              <w:lang w:eastAsia="es-MX"/>
            </w:rPr>
            <w:fldChar w:fldCharType="separate"/>
          </w:r>
          <w:hyperlink w:anchor="_Toc506217983" w:history="1">
            <w:r w:rsidR="00FB07E0" w:rsidRPr="00826CF9">
              <w:rPr>
                <w:rStyle w:val="Hipervnculo"/>
                <w:rFonts w:ascii="Palatino Linotype" w:hAnsi="Palatino Linotype"/>
                <w:b/>
                <w:noProof/>
                <w:sz w:val="24"/>
                <w:szCs w:val="24"/>
              </w:rPr>
              <w:t>I.</w:t>
            </w:r>
            <w:r w:rsidR="00FB07E0" w:rsidRPr="00826CF9">
              <w:rPr>
                <w:rFonts w:ascii="Palatino Linotype" w:eastAsiaTheme="minorEastAsia" w:hAnsi="Palatino Linotype"/>
                <w:noProof/>
                <w:sz w:val="24"/>
                <w:szCs w:val="24"/>
                <w:lang w:eastAsia="es-MX"/>
              </w:rPr>
              <w:tab/>
            </w:r>
            <w:r w:rsidR="00FB07E0" w:rsidRPr="00826CF9">
              <w:rPr>
                <w:rStyle w:val="Hipervnculo"/>
                <w:rFonts w:ascii="Palatino Linotype" w:hAnsi="Palatino Linotype"/>
                <w:b/>
                <w:noProof/>
                <w:sz w:val="24"/>
                <w:szCs w:val="24"/>
              </w:rPr>
              <w:t>Consideraciones Generales.</w:t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tab/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begin"/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instrText xml:space="preserve"> PAGEREF _Toc506217983 \h </w:instrText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separate"/>
            </w:r>
            <w:r w:rsid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t>3</w:t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B07E0" w:rsidRPr="00826CF9" w:rsidRDefault="00AE467C">
          <w:pPr>
            <w:pStyle w:val="TDC1"/>
            <w:rPr>
              <w:rFonts w:ascii="Palatino Linotype" w:eastAsiaTheme="minorEastAsia" w:hAnsi="Palatino Linotype"/>
              <w:noProof/>
              <w:sz w:val="24"/>
              <w:szCs w:val="24"/>
              <w:lang w:eastAsia="es-MX"/>
            </w:rPr>
          </w:pPr>
          <w:hyperlink w:anchor="_Toc506217984" w:history="1">
            <w:r w:rsidR="00FB07E0" w:rsidRPr="00826CF9">
              <w:rPr>
                <w:rStyle w:val="Hipervnculo"/>
                <w:rFonts w:ascii="Palatino Linotype" w:hAnsi="Palatino Linotype"/>
                <w:b/>
                <w:noProof/>
                <w:sz w:val="24"/>
                <w:szCs w:val="24"/>
              </w:rPr>
              <w:t>II.</w:t>
            </w:r>
            <w:r w:rsidR="00FB07E0" w:rsidRPr="00826CF9">
              <w:rPr>
                <w:rFonts w:ascii="Palatino Linotype" w:eastAsiaTheme="minorEastAsia" w:hAnsi="Palatino Linotype"/>
                <w:noProof/>
                <w:sz w:val="24"/>
                <w:szCs w:val="24"/>
                <w:lang w:eastAsia="es-MX"/>
              </w:rPr>
              <w:tab/>
            </w:r>
            <w:r w:rsidR="00FB07E0" w:rsidRPr="00826CF9">
              <w:rPr>
                <w:rStyle w:val="Hipervnculo"/>
                <w:rFonts w:ascii="Palatino Linotype" w:hAnsi="Palatino Linotype"/>
                <w:b/>
                <w:noProof/>
                <w:sz w:val="24"/>
                <w:szCs w:val="24"/>
              </w:rPr>
              <w:t>De los requerimientos planteados en el recurso de revisión.</w:t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tab/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begin"/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instrText xml:space="preserve"> PAGEREF _Toc506217984 \h </w:instrText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separate"/>
            </w:r>
            <w:r w:rsid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t>3</w:t>
            </w:r>
            <w:r w:rsidR="00FB07E0"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B07E0" w:rsidRPr="00826CF9" w:rsidRDefault="00FB07E0">
          <w:pPr>
            <w:pStyle w:val="TDC1"/>
            <w:rPr>
              <w:rFonts w:ascii="Palatino Linotype" w:eastAsiaTheme="minorEastAsia" w:hAnsi="Palatino Linotype"/>
              <w:noProof/>
              <w:sz w:val="24"/>
              <w:szCs w:val="24"/>
              <w:lang w:eastAsia="es-MX"/>
            </w:rPr>
          </w:pPr>
          <w:r w:rsidRPr="00826CF9">
            <w:rPr>
              <w:rFonts w:ascii="Palatino Linotype" w:hAnsi="Palatino Linotype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CBA75AB" wp14:editId="0840DECA">
                    <wp:simplePos x="0" y="0"/>
                    <wp:positionH relativeFrom="column">
                      <wp:posOffset>2516</wp:posOffset>
                    </wp:positionH>
                    <wp:positionV relativeFrom="paragraph">
                      <wp:posOffset>477469</wp:posOffset>
                    </wp:positionV>
                    <wp:extent cx="5413248" cy="4776826"/>
                    <wp:effectExtent l="0" t="0" r="35560" b="2413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413248" cy="4776826"/>
                            </a:xfrm>
                            <a:prstGeom prst="line">
                              <a:avLst/>
                            </a:prstGeom>
                            <a:ln>
                              <a:prstDash val="lg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36913B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37.6pt" to="426.45pt,4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" strokecolor="black [3200]" strokeweight=".5pt">
                    <v:stroke dashstyle="longDash" joinstyle="miter"/>
                  </v:line>
                </w:pict>
              </mc:Fallback>
            </mc:AlternateContent>
          </w:r>
          <w:hyperlink w:anchor="_Toc506217985" w:history="1">
            <w:r w:rsidRPr="00826CF9">
              <w:rPr>
                <w:rStyle w:val="Hipervnculo"/>
                <w:rFonts w:ascii="Palatino Linotype" w:hAnsi="Palatino Linotype"/>
                <w:b/>
                <w:noProof/>
                <w:sz w:val="24"/>
                <w:szCs w:val="24"/>
              </w:rPr>
              <w:t>III.</w:t>
            </w:r>
            <w:r w:rsidRPr="00826CF9">
              <w:rPr>
                <w:rFonts w:ascii="Palatino Linotype" w:eastAsiaTheme="minorEastAsia" w:hAnsi="Palatino Linotype"/>
                <w:noProof/>
                <w:sz w:val="24"/>
                <w:szCs w:val="24"/>
                <w:lang w:eastAsia="es-MX"/>
              </w:rPr>
              <w:tab/>
            </w:r>
            <w:r w:rsidRPr="00826CF9">
              <w:rPr>
                <w:rStyle w:val="Hipervnculo"/>
                <w:rFonts w:ascii="Palatino Linotype" w:hAnsi="Palatino Linotype"/>
                <w:b/>
                <w:noProof/>
                <w:sz w:val="24"/>
                <w:szCs w:val="24"/>
              </w:rPr>
              <w:t>Del sentidos de las resoluciones del Instituto.</w:t>
            </w:r>
            <w:r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tab/>
            </w:r>
            <w:r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begin"/>
            </w:r>
            <w:r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instrText xml:space="preserve"> PAGEREF _Toc506217985 \h </w:instrText>
            </w:r>
            <w:r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</w:r>
            <w:r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separate"/>
            </w:r>
            <w:r w:rsid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t>5</w:t>
            </w:r>
            <w:r w:rsidRPr="00826CF9">
              <w:rPr>
                <w:rFonts w:ascii="Palatino Linotype" w:hAnsi="Palatino Linotype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32733" w:rsidRPr="00826CF9" w:rsidRDefault="00332733" w:rsidP="00332733">
          <w:pPr>
            <w:spacing w:line="360" w:lineRule="auto"/>
            <w:jc w:val="both"/>
            <w:rPr>
              <w:rFonts w:ascii="Palatino Linotype" w:hAnsi="Palatino Linotype"/>
              <w:sz w:val="24"/>
              <w:szCs w:val="24"/>
            </w:rPr>
          </w:pPr>
          <w:r w:rsidRPr="00826CF9">
            <w:rPr>
              <w:rFonts w:ascii="Palatino Linotype" w:hAnsi="Palatino Linotype"/>
              <w:b/>
              <w:bCs/>
              <w:color w:val="000000" w:themeColor="text1"/>
              <w:sz w:val="24"/>
              <w:szCs w:val="24"/>
              <w:lang w:val="es-ES"/>
            </w:rPr>
            <w:fldChar w:fldCharType="end"/>
          </w:r>
        </w:p>
      </w:sdtContent>
    </w:sdt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332733" w:rsidRPr="00826CF9" w:rsidRDefault="00332733" w:rsidP="00332733">
      <w:pPr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B910B2" w:rsidRPr="00826CF9" w:rsidRDefault="00B910B2" w:rsidP="00B910B2">
      <w:pPr>
        <w:rPr>
          <w:rFonts w:ascii="Palatino Linotype" w:hAnsi="Palatino Linotype"/>
          <w:sz w:val="24"/>
          <w:szCs w:val="24"/>
        </w:rPr>
      </w:pPr>
      <w:bookmarkStart w:id="1" w:name="_Toc506217983"/>
    </w:p>
    <w:p w:rsidR="00D448AF" w:rsidRPr="00826CF9" w:rsidRDefault="00D448AF" w:rsidP="00332733">
      <w:pPr>
        <w:pStyle w:val="Ttulo1"/>
        <w:numPr>
          <w:ilvl w:val="0"/>
          <w:numId w:val="17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26CF9">
        <w:rPr>
          <w:rFonts w:ascii="Palatino Linotype" w:hAnsi="Palatino Linotype"/>
          <w:b/>
          <w:color w:val="000000" w:themeColor="text1"/>
          <w:sz w:val="24"/>
          <w:szCs w:val="24"/>
        </w:rPr>
        <w:lastRenderedPageBreak/>
        <w:t>Consideraciones Generales.</w:t>
      </w:r>
      <w:bookmarkEnd w:id="1"/>
    </w:p>
    <w:p w:rsidR="00FB07E0" w:rsidRPr="00826CF9" w:rsidRDefault="00FB07E0" w:rsidP="00FB07E0">
      <w:pPr>
        <w:rPr>
          <w:rFonts w:ascii="Palatino Linotype" w:hAnsi="Palatino Linotype"/>
          <w:sz w:val="24"/>
          <w:szCs w:val="24"/>
        </w:rPr>
      </w:pPr>
    </w:p>
    <w:p w:rsidR="008444E2" w:rsidRPr="00826CF9" w:rsidRDefault="00D448AF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826CF9">
        <w:rPr>
          <w:rFonts w:ascii="Palatino Linotype" w:hAnsi="Palatino Linotype"/>
          <w:sz w:val="24"/>
          <w:szCs w:val="24"/>
          <w:lang w:val="es-ES_tradnl"/>
        </w:rPr>
        <w:t xml:space="preserve">He concurrido con mi voto particular de la presente resolución emitida </w:t>
      </w:r>
      <w:r w:rsidRPr="00826CF9">
        <w:rPr>
          <w:rFonts w:ascii="Palatino Linotype" w:hAnsi="Palatino Linotype"/>
          <w:sz w:val="24"/>
          <w:szCs w:val="24"/>
        </w:rPr>
        <w:t>por el Pleno del Instituto de Transparencia, Acceso a la Información Pública y Protección de Datos Personales del Estado de México y Mu</w:t>
      </w:r>
      <w:r w:rsidR="008444E2" w:rsidRPr="00826CF9">
        <w:rPr>
          <w:rFonts w:ascii="Palatino Linotype" w:hAnsi="Palatino Linotype"/>
          <w:sz w:val="24"/>
          <w:szCs w:val="24"/>
        </w:rPr>
        <w:t xml:space="preserve">nicipios, </w:t>
      </w:r>
      <w:r w:rsidR="00B910B2" w:rsidRPr="00826CF9">
        <w:rPr>
          <w:rFonts w:ascii="Palatino Linotype" w:hAnsi="Palatino Linotype" w:cs="Arial"/>
          <w:sz w:val="24"/>
          <w:szCs w:val="24"/>
        </w:rPr>
        <w:t xml:space="preserve">en su Vigésimo </w:t>
      </w:r>
      <w:r w:rsidR="00826CF9" w:rsidRPr="00826CF9">
        <w:rPr>
          <w:rFonts w:ascii="Palatino Linotype" w:hAnsi="Palatino Linotype" w:cs="Arial"/>
          <w:sz w:val="24"/>
          <w:szCs w:val="24"/>
        </w:rPr>
        <w:t>Séptima</w:t>
      </w:r>
      <w:r w:rsidR="00B910B2" w:rsidRPr="00826CF9">
        <w:rPr>
          <w:rFonts w:ascii="Palatino Linotype" w:hAnsi="Palatino Linotype" w:cs="Arial"/>
          <w:sz w:val="24"/>
          <w:szCs w:val="24"/>
        </w:rPr>
        <w:t xml:space="preserve"> Sesión Ordinaría de fecha diez (10) de julio de dos mil diecinueve</w:t>
      </w:r>
      <w:r w:rsidRPr="00826CF9">
        <w:rPr>
          <w:rFonts w:ascii="Palatino Linotype" w:hAnsi="Palatino Linotype"/>
          <w:sz w:val="24"/>
          <w:szCs w:val="24"/>
        </w:rPr>
        <w:t>, en el recurso de revisión promovido</w:t>
      </w:r>
      <w:r w:rsidRPr="00826CF9">
        <w:rPr>
          <w:rFonts w:ascii="Palatino Linotype" w:hAnsi="Palatino Linotype"/>
          <w:b/>
          <w:sz w:val="24"/>
          <w:szCs w:val="24"/>
        </w:rPr>
        <w:t>,</w:t>
      </w:r>
      <w:r w:rsidRPr="00826CF9">
        <w:rPr>
          <w:rFonts w:ascii="Palatino Linotype" w:hAnsi="Palatino Linotype"/>
          <w:sz w:val="24"/>
          <w:szCs w:val="24"/>
        </w:rPr>
        <w:t xml:space="preserve"> en contra de la respuesta del </w:t>
      </w:r>
      <w:r w:rsidR="0083137A" w:rsidRPr="00826CF9">
        <w:rPr>
          <w:rFonts w:ascii="Palatino Linotype" w:hAnsi="Palatino Linotype"/>
          <w:b/>
          <w:sz w:val="24"/>
          <w:szCs w:val="24"/>
        </w:rPr>
        <w:t>Ayuntamiento de Atizapán de Zaragoza</w:t>
      </w:r>
      <w:r w:rsidRPr="00826CF9">
        <w:rPr>
          <w:rFonts w:ascii="Palatino Linotype" w:hAnsi="Palatino Linotype"/>
          <w:sz w:val="24"/>
          <w:szCs w:val="24"/>
        </w:rPr>
        <w:t xml:space="preserve">, procedimiento al que se le asignó el número de expediente </w:t>
      </w:r>
      <w:r w:rsidR="008444E2" w:rsidRPr="00826CF9">
        <w:rPr>
          <w:rFonts w:ascii="Palatino Linotype" w:hAnsi="Palatino Linotype"/>
          <w:b/>
          <w:sz w:val="24"/>
          <w:szCs w:val="24"/>
        </w:rPr>
        <w:t xml:space="preserve"> </w:t>
      </w:r>
      <w:r w:rsidR="0083137A" w:rsidRPr="00826CF9">
        <w:rPr>
          <w:rFonts w:ascii="Palatino Linotype" w:hAnsi="Palatino Linotype"/>
          <w:b/>
          <w:sz w:val="24"/>
          <w:szCs w:val="24"/>
        </w:rPr>
        <w:t>03677/INFOEM/IP/RR/2019</w:t>
      </w:r>
      <w:r w:rsidRPr="00826CF9">
        <w:rPr>
          <w:rFonts w:ascii="Palatino Linotype" w:hAnsi="Palatino Linotype"/>
          <w:b/>
          <w:sz w:val="24"/>
          <w:szCs w:val="24"/>
        </w:rPr>
        <w:t>.</w:t>
      </w:r>
    </w:p>
    <w:p w:rsidR="00332733" w:rsidRPr="00826CF9" w:rsidRDefault="00D448AF" w:rsidP="00B9104B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i/>
          <w:sz w:val="24"/>
          <w:szCs w:val="24"/>
        </w:rPr>
      </w:pPr>
      <w:r w:rsidRPr="00826CF9">
        <w:rPr>
          <w:rFonts w:ascii="Palatino Linotype" w:hAnsi="Palatino Linotype"/>
          <w:sz w:val="24"/>
          <w:szCs w:val="24"/>
        </w:rPr>
        <w:t xml:space="preserve">La resolución declara </w:t>
      </w:r>
      <w:r w:rsidR="00B910B2" w:rsidRPr="00826CF9">
        <w:rPr>
          <w:rFonts w:ascii="Palatino Linotype" w:hAnsi="Palatino Linotype" w:cs="Arial"/>
          <w:b/>
          <w:sz w:val="24"/>
          <w:szCs w:val="24"/>
        </w:rPr>
        <w:t>DESECHA</w:t>
      </w:r>
      <w:r w:rsidR="00E30A9B" w:rsidRPr="00826CF9">
        <w:rPr>
          <w:rFonts w:ascii="Palatino Linotype" w:hAnsi="Palatino Linotype" w:cs="Arial"/>
          <w:b/>
          <w:sz w:val="24"/>
          <w:szCs w:val="24"/>
        </w:rPr>
        <w:t>R</w:t>
      </w:r>
      <w:r w:rsidR="00332733" w:rsidRPr="00826CF9">
        <w:rPr>
          <w:rFonts w:ascii="Palatino Linotype" w:hAnsi="Palatino Linotype" w:cs="Arial"/>
          <w:sz w:val="24"/>
          <w:szCs w:val="24"/>
        </w:rPr>
        <w:t xml:space="preserve"> </w:t>
      </w:r>
      <w:r w:rsidR="00B910B2" w:rsidRPr="00826CF9">
        <w:rPr>
          <w:rFonts w:ascii="Palatino Linotype" w:eastAsia="Times New Roman" w:hAnsi="Palatino Linotype" w:cs="Arial"/>
          <w:bCs/>
          <w:sz w:val="24"/>
          <w:szCs w:val="24"/>
          <w:lang w:val="es-ES"/>
        </w:rPr>
        <w:t>por improcedente el presente Recurso de Revisión</w:t>
      </w:r>
      <w:r w:rsidR="00332733" w:rsidRPr="00826CF9">
        <w:rPr>
          <w:rFonts w:ascii="Palatino Linotype" w:hAnsi="Palatino Linotype" w:cs="Arial"/>
          <w:color w:val="000000" w:themeColor="text1"/>
          <w:sz w:val="24"/>
          <w:szCs w:val="24"/>
        </w:rPr>
        <w:t>.</w:t>
      </w:r>
      <w:r w:rsidR="00F43F3D" w:rsidRPr="00826CF9">
        <w:rPr>
          <w:rFonts w:ascii="Palatino Linotype" w:hAnsi="Palatino Linotype" w:cs="Arial"/>
          <w:color w:val="000000" w:themeColor="text1"/>
          <w:sz w:val="24"/>
          <w:szCs w:val="24"/>
        </w:rPr>
        <w:t xml:space="preserve"> </w:t>
      </w:r>
      <w:r w:rsidR="00332733" w:rsidRPr="00826CF9">
        <w:rPr>
          <w:rFonts w:ascii="Palatino Linotype" w:hAnsi="Palatino Linotype"/>
          <w:sz w:val="24"/>
          <w:szCs w:val="24"/>
        </w:rPr>
        <w:t xml:space="preserve">Sentido que </w:t>
      </w:r>
      <w:r w:rsidR="00E30A9B" w:rsidRPr="00826CF9">
        <w:rPr>
          <w:rFonts w:ascii="Palatino Linotype" w:hAnsi="Palatino Linotype"/>
          <w:sz w:val="24"/>
          <w:szCs w:val="24"/>
        </w:rPr>
        <w:t xml:space="preserve">ciertamente no </w:t>
      </w:r>
      <w:r w:rsidR="00332733" w:rsidRPr="00826CF9">
        <w:rPr>
          <w:rFonts w:ascii="Palatino Linotype" w:hAnsi="Palatino Linotype"/>
          <w:sz w:val="24"/>
          <w:szCs w:val="24"/>
        </w:rPr>
        <w:t>comparto</w:t>
      </w:r>
      <w:r w:rsidR="00E30A9B" w:rsidRPr="00826CF9">
        <w:rPr>
          <w:rFonts w:ascii="Palatino Linotype" w:hAnsi="Palatino Linotype"/>
          <w:sz w:val="24"/>
          <w:szCs w:val="24"/>
        </w:rPr>
        <w:t>,</w:t>
      </w:r>
      <w:r w:rsidR="00332733" w:rsidRPr="00826CF9">
        <w:rPr>
          <w:rFonts w:ascii="Palatino Linotype" w:hAnsi="Palatino Linotype"/>
          <w:sz w:val="24"/>
          <w:szCs w:val="24"/>
        </w:rPr>
        <w:t xml:space="preserve"> </w:t>
      </w:r>
      <w:r w:rsidR="00E30A9B" w:rsidRPr="00826CF9">
        <w:rPr>
          <w:rFonts w:ascii="Palatino Linotype" w:hAnsi="Palatino Linotype"/>
          <w:sz w:val="24"/>
          <w:szCs w:val="24"/>
        </w:rPr>
        <w:t>por tal motivo</w:t>
      </w:r>
      <w:r w:rsidR="00332733" w:rsidRPr="00826CF9">
        <w:rPr>
          <w:rFonts w:ascii="Palatino Linotype" w:hAnsi="Palatino Linotype"/>
          <w:sz w:val="24"/>
          <w:szCs w:val="24"/>
        </w:rPr>
        <w:t xml:space="preserve"> </w:t>
      </w:r>
      <w:r w:rsidR="00E30A9B" w:rsidRPr="00826CF9">
        <w:rPr>
          <w:rFonts w:ascii="Palatino Linotype" w:hAnsi="Palatino Linotype"/>
          <w:sz w:val="24"/>
          <w:szCs w:val="24"/>
        </w:rPr>
        <w:t>el presente</w:t>
      </w:r>
      <w:r w:rsidRPr="00826CF9">
        <w:rPr>
          <w:rFonts w:ascii="Palatino Linotype" w:hAnsi="Palatino Linotype"/>
          <w:sz w:val="24"/>
          <w:szCs w:val="24"/>
        </w:rPr>
        <w:t xml:space="preserve"> </w:t>
      </w:r>
      <w:r w:rsidRPr="00826CF9">
        <w:rPr>
          <w:rFonts w:ascii="Palatino Linotype" w:hAnsi="Palatino Linotype"/>
          <w:b/>
          <w:sz w:val="24"/>
          <w:szCs w:val="24"/>
        </w:rPr>
        <w:t>voto particular</w:t>
      </w:r>
      <w:r w:rsidR="00E30A9B" w:rsidRPr="00826CF9">
        <w:rPr>
          <w:rFonts w:ascii="Palatino Linotype" w:hAnsi="Palatino Linotype"/>
          <w:b/>
          <w:sz w:val="24"/>
          <w:szCs w:val="24"/>
        </w:rPr>
        <w:t xml:space="preserve">, </w:t>
      </w:r>
      <w:r w:rsidR="00E30A9B" w:rsidRPr="00826CF9">
        <w:rPr>
          <w:rFonts w:ascii="Palatino Linotype" w:hAnsi="Palatino Linotype"/>
          <w:sz w:val="24"/>
          <w:szCs w:val="24"/>
        </w:rPr>
        <w:t>en virtud</w:t>
      </w:r>
      <w:r w:rsidRPr="00826CF9">
        <w:rPr>
          <w:rFonts w:ascii="Palatino Linotype" w:hAnsi="Palatino Linotype"/>
          <w:sz w:val="24"/>
          <w:szCs w:val="24"/>
        </w:rPr>
        <w:t xml:space="preserve"> </w:t>
      </w:r>
      <w:r w:rsidR="00E30A9B" w:rsidRPr="00826CF9">
        <w:rPr>
          <w:rFonts w:ascii="Palatino Linotype" w:hAnsi="Palatino Linotype"/>
          <w:sz w:val="24"/>
          <w:szCs w:val="24"/>
        </w:rPr>
        <w:t>que como se fue desarrollando a lo largo del estudio del recurso de revisión, el sujeto obligado colmo lo peticionado por el particular</w:t>
      </w:r>
      <w:r w:rsidR="00E30A9B" w:rsidRPr="00826CF9">
        <w:rPr>
          <w:rFonts w:ascii="Palatino Linotype" w:hAnsi="Palatino Linotype" w:cs="Arial"/>
          <w:i/>
          <w:sz w:val="24"/>
          <w:szCs w:val="24"/>
        </w:rPr>
        <w:t>.</w:t>
      </w:r>
    </w:p>
    <w:p w:rsidR="008D0FE7" w:rsidRPr="00826CF9" w:rsidRDefault="00D448AF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826CF9">
        <w:rPr>
          <w:rFonts w:ascii="Palatino Linotype" w:hAnsi="Palatino Linotype"/>
          <w:sz w:val="24"/>
          <w:szCs w:val="24"/>
        </w:rPr>
        <w:t>Por tal motivo y en términos de lo</w:t>
      </w:r>
      <w:r w:rsidR="008E2027" w:rsidRPr="00826CF9">
        <w:rPr>
          <w:rFonts w:ascii="Palatino Linotype" w:hAnsi="Palatino Linotype"/>
          <w:sz w:val="24"/>
          <w:szCs w:val="24"/>
        </w:rPr>
        <w:t xml:space="preserve"> señalado por el artículo 14 </w:t>
      </w:r>
      <w:r w:rsidRPr="00826CF9">
        <w:rPr>
          <w:rFonts w:ascii="Palatino Linotype" w:hAnsi="Palatino Linotype"/>
          <w:sz w:val="24"/>
          <w:szCs w:val="24"/>
        </w:rPr>
        <w:t xml:space="preserve"> fracción X</w:t>
      </w:r>
      <w:r w:rsidR="008E2027" w:rsidRPr="00826CF9">
        <w:rPr>
          <w:rFonts w:ascii="Palatino Linotype" w:hAnsi="Palatino Linotype"/>
          <w:sz w:val="24"/>
          <w:szCs w:val="24"/>
        </w:rPr>
        <w:t>I</w:t>
      </w:r>
      <w:r w:rsidRPr="00826CF9">
        <w:rPr>
          <w:rFonts w:ascii="Palatino Linotype" w:hAnsi="Palatino Linotype"/>
          <w:sz w:val="24"/>
          <w:szCs w:val="24"/>
        </w:rPr>
        <w:t xml:space="preserve"> del Reglamento Interior del Instituto de Transparencia y Acceso a la Información Pública del Estado de México y Munici</w:t>
      </w:r>
      <w:r w:rsidR="008E2027" w:rsidRPr="00826CF9">
        <w:rPr>
          <w:rFonts w:ascii="Palatino Linotype" w:hAnsi="Palatino Linotype"/>
          <w:sz w:val="24"/>
          <w:szCs w:val="24"/>
        </w:rPr>
        <w:t>pios formulo el presente voto</w:t>
      </w:r>
      <w:r w:rsidRPr="00826CF9">
        <w:rPr>
          <w:rFonts w:ascii="Palatino Linotype" w:hAnsi="Palatino Linotype"/>
          <w:sz w:val="24"/>
          <w:szCs w:val="24"/>
        </w:rPr>
        <w:t xml:space="preserve"> particular.</w:t>
      </w:r>
    </w:p>
    <w:p w:rsidR="0083137A" w:rsidRPr="00826CF9" w:rsidRDefault="0083137A" w:rsidP="0083137A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D0FE7" w:rsidRPr="00826CF9" w:rsidRDefault="008D0FE7" w:rsidP="00E30A9B">
      <w:pPr>
        <w:pStyle w:val="Ttulo1"/>
        <w:numPr>
          <w:ilvl w:val="0"/>
          <w:numId w:val="23"/>
        </w:numPr>
        <w:ind w:left="851" w:hanging="284"/>
        <w:rPr>
          <w:rFonts w:ascii="Palatino Linotype" w:hAnsi="Palatino Linotype"/>
          <w:b/>
          <w:color w:val="000000" w:themeColor="text1"/>
          <w:sz w:val="24"/>
          <w:szCs w:val="24"/>
        </w:rPr>
      </w:pPr>
      <w:bookmarkStart w:id="2" w:name="_Toc485629154"/>
      <w:bookmarkStart w:id="3" w:name="_Toc506217984"/>
      <w:r w:rsidRPr="00826CF9">
        <w:rPr>
          <w:rFonts w:ascii="Palatino Linotype" w:hAnsi="Palatino Linotype"/>
          <w:b/>
          <w:color w:val="000000" w:themeColor="text1"/>
          <w:sz w:val="24"/>
          <w:szCs w:val="24"/>
        </w:rPr>
        <w:t>De los requerimientos planteados en el recurso de revisión.</w:t>
      </w:r>
      <w:bookmarkEnd w:id="2"/>
      <w:bookmarkEnd w:id="3"/>
    </w:p>
    <w:p w:rsidR="0083137A" w:rsidRPr="00826CF9" w:rsidRDefault="0083137A" w:rsidP="0083137A">
      <w:pPr>
        <w:rPr>
          <w:rFonts w:ascii="Palatino Linotype" w:hAnsi="Palatino Linotype"/>
          <w:sz w:val="24"/>
          <w:szCs w:val="24"/>
        </w:rPr>
      </w:pPr>
    </w:p>
    <w:p w:rsidR="008D0FE7" w:rsidRPr="00826CF9" w:rsidRDefault="00E30A9B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eastAsia="Times New Roman" w:hAnsi="Palatino Linotype" w:cs="Arial"/>
          <w:sz w:val="24"/>
          <w:szCs w:val="24"/>
        </w:rPr>
      </w:pPr>
      <w:r w:rsidRPr="00826CF9">
        <w:rPr>
          <w:rFonts w:ascii="Palatino Linotype" w:hAnsi="Palatino Linotype" w:cs="Arial"/>
          <w:sz w:val="24"/>
          <w:szCs w:val="24"/>
        </w:rPr>
        <w:lastRenderedPageBreak/>
        <w:t xml:space="preserve">El </w:t>
      </w:r>
      <w:r w:rsidR="00F43F3D" w:rsidRPr="00826CF9">
        <w:rPr>
          <w:rFonts w:ascii="Palatino Linotype" w:hAnsi="Palatino Linotype" w:cs="Arial"/>
          <w:sz w:val="24"/>
          <w:szCs w:val="24"/>
        </w:rPr>
        <w:t xml:space="preserve">hoy </w:t>
      </w:r>
      <w:r w:rsidR="00F43440" w:rsidRPr="00826CF9">
        <w:rPr>
          <w:rFonts w:ascii="Palatino Linotype" w:hAnsi="Palatino Linotype" w:cs="Arial"/>
          <w:sz w:val="24"/>
          <w:szCs w:val="24"/>
        </w:rPr>
        <w:t>recurrente</w:t>
      </w:r>
      <w:r w:rsidR="008D0FE7" w:rsidRPr="00826CF9">
        <w:rPr>
          <w:rFonts w:ascii="Palatino Linotype" w:hAnsi="Palatino Linotype" w:cs="Arial"/>
          <w:sz w:val="24"/>
          <w:szCs w:val="24"/>
        </w:rPr>
        <w:t xml:space="preserve">, mediante solicitud de acceso a la información requirió la información siguiente: </w:t>
      </w:r>
    </w:p>
    <w:p w:rsidR="008D0FE7" w:rsidRPr="00826CF9" w:rsidRDefault="008D0FE7" w:rsidP="0083137A">
      <w:pPr>
        <w:pStyle w:val="Cuerpo"/>
        <w:spacing w:line="480" w:lineRule="auto"/>
        <w:ind w:left="709" w:right="760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826CF9">
        <w:rPr>
          <w:rFonts w:ascii="Palatino Linotype" w:hAnsi="Palatino Linotype" w:cs="Arial"/>
          <w:i/>
          <w:color w:val="000000" w:themeColor="text1"/>
          <w:sz w:val="24"/>
          <w:szCs w:val="24"/>
        </w:rPr>
        <w:t>“</w:t>
      </w:r>
      <w:r w:rsidR="0083137A" w:rsidRPr="00826CF9">
        <w:rPr>
          <w:rFonts w:ascii="Palatino Linotype" w:hAnsi="Palatino Linotype" w:cs="Arial"/>
          <w:i/>
          <w:sz w:val="24"/>
          <w:szCs w:val="24"/>
        </w:rPr>
        <w:t>SOLICITO CONOCER EL POR QUE NO ESTA ACTUALIZADA LA PAGINA WEB OFICIAL DEL AYUTAMIENTO Y SE EXPONE EN LA MISMA LA INFORMACIÓN PUBLICA DE OFICIO.</w:t>
      </w:r>
      <w:r w:rsidRPr="00826CF9">
        <w:rPr>
          <w:rFonts w:ascii="Palatino Linotype" w:hAnsi="Palatino Linotype" w:cs="Arial"/>
          <w:i/>
          <w:color w:val="000000" w:themeColor="text1"/>
          <w:sz w:val="24"/>
          <w:szCs w:val="24"/>
        </w:rPr>
        <w:t>”</w:t>
      </w:r>
      <w:r w:rsidRPr="00826CF9">
        <w:rPr>
          <w:rFonts w:ascii="Palatino Linotype" w:hAnsi="Palatino Linotype" w:cs="Arial"/>
          <w:color w:val="000000" w:themeColor="text1"/>
          <w:sz w:val="24"/>
          <w:szCs w:val="24"/>
        </w:rPr>
        <w:t xml:space="preserve"> (Sic)</w:t>
      </w:r>
    </w:p>
    <w:p w:rsidR="00826CF9" w:rsidRPr="00826CF9" w:rsidRDefault="00826CF9" w:rsidP="0083137A">
      <w:pPr>
        <w:pStyle w:val="Cuerpo"/>
        <w:spacing w:line="480" w:lineRule="auto"/>
        <w:ind w:left="709" w:right="760"/>
        <w:jc w:val="both"/>
        <w:rPr>
          <w:rFonts w:ascii="Palatino Linotype" w:hAnsi="Palatino Linotype" w:cs="Arial"/>
          <w:color w:val="000000" w:themeColor="text1"/>
          <w:sz w:val="24"/>
          <w:szCs w:val="24"/>
        </w:rPr>
      </w:pPr>
    </w:p>
    <w:p w:rsidR="008D0FE7" w:rsidRPr="00826CF9" w:rsidRDefault="00F43F3D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4"/>
          <w:szCs w:val="24"/>
        </w:rPr>
      </w:pPr>
      <w:r w:rsidRPr="00826CF9">
        <w:rPr>
          <w:rFonts w:ascii="Palatino Linotype" w:hAnsi="Palatino Linotype" w:cs="Arial"/>
          <w:sz w:val="24"/>
          <w:szCs w:val="24"/>
        </w:rPr>
        <w:t>Consecutivamente, con motivo de la respuesta emitida por el Sujeto Obligado, el particular</w:t>
      </w:r>
      <w:r w:rsidR="008D0FE7" w:rsidRPr="00826CF9">
        <w:rPr>
          <w:rFonts w:ascii="Palatino Linotype" w:hAnsi="Palatino Linotype" w:cs="Arial"/>
          <w:sz w:val="24"/>
          <w:szCs w:val="24"/>
        </w:rPr>
        <w:t xml:space="preserve"> manifestó en su recurso de revisión como acto impugnado, y como razones o motivos de inconformidad los siguientes:</w:t>
      </w:r>
    </w:p>
    <w:p w:rsidR="00396AAF" w:rsidRPr="00826CF9" w:rsidRDefault="00396AAF" w:rsidP="00396AAF">
      <w:pPr>
        <w:pStyle w:val="Prrafodelista"/>
        <w:spacing w:after="0" w:line="360" w:lineRule="auto"/>
        <w:ind w:left="426"/>
        <w:jc w:val="both"/>
        <w:rPr>
          <w:rFonts w:ascii="Palatino Linotype" w:hAnsi="Palatino Linotype" w:cs="Arial"/>
          <w:sz w:val="24"/>
          <w:szCs w:val="24"/>
        </w:rPr>
      </w:pPr>
    </w:p>
    <w:p w:rsidR="008D0FE7" w:rsidRPr="00826CF9" w:rsidRDefault="008D0FE7" w:rsidP="00F43440">
      <w:pPr>
        <w:pStyle w:val="Prrafodelista"/>
        <w:spacing w:after="0" w:line="480" w:lineRule="auto"/>
        <w:ind w:left="851" w:right="760"/>
        <w:jc w:val="both"/>
        <w:rPr>
          <w:rFonts w:ascii="Palatino Linotype" w:hAnsi="Palatino Linotype" w:cs="Arial"/>
          <w:b/>
          <w:sz w:val="24"/>
          <w:szCs w:val="24"/>
        </w:rPr>
      </w:pPr>
      <w:r w:rsidRPr="00826CF9">
        <w:rPr>
          <w:rFonts w:ascii="Palatino Linotype" w:hAnsi="Palatino Linotype" w:cs="Arial"/>
          <w:b/>
          <w:sz w:val="24"/>
          <w:szCs w:val="24"/>
        </w:rPr>
        <w:t>ACTO IMPUGNADO</w:t>
      </w:r>
      <w:r w:rsidRPr="00826CF9">
        <w:rPr>
          <w:rFonts w:ascii="Palatino Linotype" w:hAnsi="Palatino Linotype" w:cs="Arial"/>
          <w:b/>
          <w:sz w:val="24"/>
          <w:szCs w:val="24"/>
        </w:rPr>
        <w:tab/>
      </w:r>
    </w:p>
    <w:p w:rsidR="008D0FE7" w:rsidRPr="00826CF9" w:rsidRDefault="008D0FE7" w:rsidP="00F43440">
      <w:pPr>
        <w:spacing w:line="480" w:lineRule="auto"/>
        <w:ind w:left="851" w:right="760"/>
        <w:jc w:val="both"/>
        <w:rPr>
          <w:rFonts w:ascii="Palatino Linotype" w:hAnsi="Palatino Linotype" w:cs="Arial"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t>“</w:t>
      </w:r>
      <w:r w:rsidR="0083137A" w:rsidRPr="00826CF9">
        <w:rPr>
          <w:rFonts w:ascii="Palatino Linotype" w:hAnsi="Palatino Linotype" w:cs="Arial"/>
          <w:i/>
          <w:sz w:val="24"/>
          <w:szCs w:val="24"/>
        </w:rPr>
        <w:t>RESPUESTA DE LA AUTORIDAD</w:t>
      </w:r>
      <w:r w:rsidRPr="00826CF9">
        <w:rPr>
          <w:rFonts w:ascii="Palatino Linotype" w:hAnsi="Palatino Linotype" w:cs="Arial"/>
          <w:i/>
          <w:sz w:val="24"/>
          <w:szCs w:val="24"/>
        </w:rPr>
        <w:t xml:space="preserve">” </w:t>
      </w:r>
      <w:r w:rsidRPr="00826CF9">
        <w:rPr>
          <w:rFonts w:ascii="Palatino Linotype" w:hAnsi="Palatino Linotype" w:cs="Arial"/>
          <w:sz w:val="24"/>
          <w:szCs w:val="24"/>
        </w:rPr>
        <w:t>(Sic)</w:t>
      </w:r>
    </w:p>
    <w:p w:rsidR="0083137A" w:rsidRPr="00826CF9" w:rsidRDefault="0083137A" w:rsidP="00F43440">
      <w:pPr>
        <w:pStyle w:val="Prrafodelista"/>
        <w:spacing w:after="0" w:line="480" w:lineRule="auto"/>
        <w:ind w:left="851" w:right="760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D0FE7" w:rsidRPr="00826CF9" w:rsidRDefault="008D0FE7" w:rsidP="00F43440">
      <w:pPr>
        <w:pStyle w:val="Prrafodelista"/>
        <w:spacing w:after="0" w:line="480" w:lineRule="auto"/>
        <w:ind w:left="851" w:right="760"/>
        <w:jc w:val="both"/>
        <w:rPr>
          <w:rFonts w:ascii="Palatino Linotype" w:hAnsi="Palatino Linotype" w:cs="Arial"/>
          <w:b/>
          <w:sz w:val="24"/>
          <w:szCs w:val="24"/>
        </w:rPr>
      </w:pPr>
      <w:r w:rsidRPr="00826CF9">
        <w:rPr>
          <w:rFonts w:ascii="Palatino Linotype" w:hAnsi="Palatino Linotype" w:cs="Arial"/>
          <w:b/>
          <w:sz w:val="24"/>
          <w:szCs w:val="24"/>
        </w:rPr>
        <w:t>RAZONES O MOTIVOS DE LA INCONFORMIDAD</w:t>
      </w:r>
      <w:r w:rsidRPr="00826CF9">
        <w:rPr>
          <w:rFonts w:ascii="Palatino Linotype" w:hAnsi="Palatino Linotype" w:cs="Arial"/>
          <w:b/>
          <w:sz w:val="24"/>
          <w:szCs w:val="24"/>
        </w:rPr>
        <w:tab/>
      </w:r>
    </w:p>
    <w:p w:rsidR="008D0FE7" w:rsidRPr="00826CF9" w:rsidRDefault="008D0FE7" w:rsidP="00F43440">
      <w:pPr>
        <w:pStyle w:val="Prrafodelista"/>
        <w:spacing w:after="0" w:line="480" w:lineRule="auto"/>
        <w:ind w:left="851" w:right="760"/>
        <w:jc w:val="both"/>
        <w:rPr>
          <w:rFonts w:ascii="Palatino Linotype" w:hAnsi="Palatino Linotype" w:cs="Arial"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t>“</w:t>
      </w:r>
      <w:r w:rsidR="0083137A" w:rsidRPr="00826CF9">
        <w:rPr>
          <w:rFonts w:ascii="Palatino Linotype" w:hAnsi="Palatino Linotype" w:cs="Arial"/>
          <w:i/>
          <w:sz w:val="24"/>
          <w:szCs w:val="24"/>
        </w:rPr>
        <w:t>LA AUTORIDAD NO ESTA DANDO O SE NIEGA DAR LA INFORMACION</w:t>
      </w:r>
      <w:r w:rsidRPr="00826CF9">
        <w:rPr>
          <w:rFonts w:ascii="Palatino Linotype" w:hAnsi="Palatino Linotype" w:cs="Arial"/>
          <w:i/>
          <w:sz w:val="24"/>
          <w:szCs w:val="24"/>
        </w:rPr>
        <w:t xml:space="preserve">” </w:t>
      </w:r>
      <w:r w:rsidRPr="00826CF9">
        <w:rPr>
          <w:rFonts w:ascii="Palatino Linotype" w:hAnsi="Palatino Linotype" w:cs="Arial"/>
          <w:sz w:val="24"/>
          <w:szCs w:val="24"/>
        </w:rPr>
        <w:t>(Sic)</w:t>
      </w:r>
    </w:p>
    <w:p w:rsidR="00FB07E0" w:rsidRPr="00826CF9" w:rsidRDefault="00FB07E0" w:rsidP="008D0FE7">
      <w:pPr>
        <w:spacing w:after="0" w:line="360" w:lineRule="auto"/>
        <w:ind w:right="333"/>
        <w:jc w:val="both"/>
        <w:rPr>
          <w:rFonts w:ascii="Palatino Linotype" w:hAnsi="Palatino Linotype" w:cs="Arial"/>
          <w:sz w:val="24"/>
          <w:szCs w:val="24"/>
        </w:rPr>
      </w:pPr>
    </w:p>
    <w:p w:rsidR="00332733" w:rsidRPr="00826CF9" w:rsidRDefault="00396AAF" w:rsidP="005A77E1">
      <w:pPr>
        <w:pStyle w:val="Ttulo1"/>
        <w:numPr>
          <w:ilvl w:val="0"/>
          <w:numId w:val="23"/>
        </w:numPr>
        <w:ind w:hanging="153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bookmarkStart w:id="4" w:name="_Toc506217985"/>
      <w:r w:rsidRPr="00826CF9">
        <w:rPr>
          <w:rFonts w:ascii="Palatino Linotype" w:hAnsi="Palatino Linotype"/>
          <w:b/>
          <w:color w:val="000000" w:themeColor="text1"/>
          <w:sz w:val="24"/>
          <w:szCs w:val="24"/>
        </w:rPr>
        <w:lastRenderedPageBreak/>
        <w:t>Del sentido de las resoluciones del Instituto</w:t>
      </w:r>
      <w:r w:rsidR="005A77E1" w:rsidRPr="00826CF9">
        <w:rPr>
          <w:rFonts w:ascii="Palatino Linotype" w:hAnsi="Palatino Linotype"/>
          <w:b/>
          <w:color w:val="000000" w:themeColor="text1"/>
          <w:sz w:val="24"/>
          <w:szCs w:val="24"/>
        </w:rPr>
        <w:t>.</w:t>
      </w:r>
      <w:bookmarkEnd w:id="4"/>
    </w:p>
    <w:p w:rsidR="00826CF9" w:rsidRPr="00826CF9" w:rsidRDefault="00826CF9" w:rsidP="00826CF9">
      <w:pPr>
        <w:rPr>
          <w:rFonts w:ascii="Palatino Linotype" w:hAnsi="Palatino Linotype"/>
          <w:sz w:val="24"/>
          <w:szCs w:val="24"/>
        </w:rPr>
      </w:pPr>
    </w:p>
    <w:p w:rsidR="00AB50C5" w:rsidRPr="00826CF9" w:rsidRDefault="00B81020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4"/>
          <w:szCs w:val="24"/>
        </w:rPr>
      </w:pPr>
      <w:r w:rsidRPr="00826CF9">
        <w:rPr>
          <w:rFonts w:ascii="Palatino Linotype" w:hAnsi="Palatino Linotype" w:cs="Arial"/>
          <w:sz w:val="24"/>
          <w:szCs w:val="24"/>
        </w:rPr>
        <w:t xml:space="preserve">Como previamente quedo precisado, la ponencia resolutora determino </w:t>
      </w:r>
      <w:r w:rsidR="00F43F3D" w:rsidRPr="00826CF9">
        <w:rPr>
          <w:rFonts w:ascii="Palatino Linotype" w:hAnsi="Palatino Linotype" w:cs="Arial"/>
          <w:sz w:val="24"/>
          <w:szCs w:val="24"/>
        </w:rPr>
        <w:t>desechar</w:t>
      </w:r>
      <w:r w:rsidR="00396AAF" w:rsidRPr="00826CF9">
        <w:rPr>
          <w:rFonts w:ascii="Palatino Linotype" w:hAnsi="Palatino Linotype" w:cs="Arial"/>
          <w:sz w:val="24"/>
          <w:szCs w:val="24"/>
        </w:rPr>
        <w:t xml:space="preserve"> el recurso por las </w:t>
      </w:r>
      <w:r w:rsidR="00AB50C5" w:rsidRPr="00826CF9">
        <w:rPr>
          <w:rFonts w:ascii="Palatino Linotype" w:hAnsi="Palatino Linotype" w:cs="Arial"/>
          <w:sz w:val="24"/>
          <w:szCs w:val="24"/>
        </w:rPr>
        <w:t>manifesta</w:t>
      </w:r>
      <w:r w:rsidR="00396AAF" w:rsidRPr="00826CF9">
        <w:rPr>
          <w:rFonts w:ascii="Palatino Linotype" w:hAnsi="Palatino Linotype" w:cs="Arial"/>
          <w:sz w:val="24"/>
          <w:szCs w:val="24"/>
        </w:rPr>
        <w:t>ciones expu</w:t>
      </w:r>
      <w:r w:rsidR="00AB50C5" w:rsidRPr="00826CF9">
        <w:rPr>
          <w:rFonts w:ascii="Palatino Linotype" w:hAnsi="Palatino Linotype" w:cs="Arial"/>
          <w:sz w:val="24"/>
          <w:szCs w:val="24"/>
        </w:rPr>
        <w:t xml:space="preserve">estas en su considerando </w:t>
      </w:r>
      <w:r w:rsidR="00F43F3D" w:rsidRPr="00826CF9">
        <w:rPr>
          <w:rFonts w:ascii="Palatino Linotype" w:hAnsi="Palatino Linotype" w:cs="Arial"/>
          <w:sz w:val="24"/>
          <w:szCs w:val="24"/>
        </w:rPr>
        <w:t>quin</w:t>
      </w:r>
      <w:r w:rsidR="00AB50C5" w:rsidRPr="00826CF9">
        <w:rPr>
          <w:rFonts w:ascii="Palatino Linotype" w:hAnsi="Palatino Linotype" w:cs="Arial"/>
          <w:sz w:val="24"/>
          <w:szCs w:val="24"/>
        </w:rPr>
        <w:t xml:space="preserve">to, que básicamente versan en que </w:t>
      </w:r>
      <w:r w:rsidR="002E09CE" w:rsidRPr="00826CF9">
        <w:rPr>
          <w:rFonts w:ascii="Palatino Linotype" w:hAnsi="Palatino Linotype" w:cs="Arial"/>
          <w:sz w:val="24"/>
          <w:szCs w:val="24"/>
        </w:rPr>
        <w:t>la solicitud de información corresponde al ejercicio del derecho de petición y no al de acceso a la información, al pretender el particular que el Sujeto Obligado conteste una pregunta, contexto que si comparto; sin embargo</w:t>
      </w:r>
      <w:r w:rsidR="00AB50C5" w:rsidRPr="00826CF9">
        <w:rPr>
          <w:rFonts w:ascii="Palatino Linotype" w:hAnsi="Palatino Linotype" w:cs="Arial"/>
          <w:sz w:val="24"/>
          <w:szCs w:val="24"/>
        </w:rPr>
        <w:t xml:space="preserve">, </w:t>
      </w:r>
      <w:r w:rsidR="00981194" w:rsidRPr="00826CF9">
        <w:rPr>
          <w:rFonts w:ascii="Palatino Linotype" w:hAnsi="Palatino Linotype" w:cs="Arial"/>
          <w:sz w:val="24"/>
          <w:szCs w:val="24"/>
        </w:rPr>
        <w:t xml:space="preserve">lo </w:t>
      </w:r>
      <w:r w:rsidR="002E09CE" w:rsidRPr="00826CF9">
        <w:rPr>
          <w:rFonts w:ascii="Palatino Linotype" w:hAnsi="Palatino Linotype" w:cs="Arial"/>
          <w:sz w:val="24"/>
          <w:szCs w:val="24"/>
        </w:rPr>
        <w:t>procesalmente correcto era</w:t>
      </w:r>
      <w:r w:rsidR="00AB50C5" w:rsidRPr="00826CF9">
        <w:rPr>
          <w:rFonts w:ascii="Palatino Linotype" w:hAnsi="Palatino Linotype" w:cs="Arial"/>
          <w:sz w:val="24"/>
          <w:szCs w:val="24"/>
        </w:rPr>
        <w:t xml:space="preserve"> sobres</w:t>
      </w:r>
      <w:r w:rsidR="002E09CE" w:rsidRPr="00826CF9">
        <w:rPr>
          <w:rFonts w:ascii="Palatino Linotype" w:hAnsi="Palatino Linotype" w:cs="Arial"/>
          <w:sz w:val="24"/>
          <w:szCs w:val="24"/>
        </w:rPr>
        <w:t xml:space="preserve">eer el recurso de revisión, porque si bien es cierto el Sujeto Obligado no se encontraba compelido a dar contestación al cuestionamiento, con el ánimo de satisfacer las pretensiones del particular, realizo un pronunciamiento al respecto al momento de rendir su informe justificado; </w:t>
      </w:r>
      <w:r w:rsidR="00AB50C5" w:rsidRPr="00826CF9">
        <w:rPr>
          <w:rFonts w:ascii="Palatino Linotype" w:hAnsi="Palatino Linotype" w:cs="Arial"/>
          <w:sz w:val="24"/>
          <w:szCs w:val="24"/>
        </w:rPr>
        <w:t xml:space="preserve">actualizándose con ello, lo establecido en la fracción </w:t>
      </w:r>
      <w:r w:rsidR="002E09CE" w:rsidRPr="00826CF9">
        <w:rPr>
          <w:rFonts w:ascii="Palatino Linotype" w:hAnsi="Palatino Linotype" w:cs="Arial"/>
          <w:sz w:val="24"/>
          <w:szCs w:val="24"/>
        </w:rPr>
        <w:t>III</w:t>
      </w:r>
      <w:r w:rsidR="00AB50C5" w:rsidRPr="00826CF9">
        <w:rPr>
          <w:rFonts w:ascii="Palatino Linotype" w:hAnsi="Palatino Linotype" w:cs="Arial"/>
          <w:sz w:val="24"/>
          <w:szCs w:val="24"/>
        </w:rPr>
        <w:t xml:space="preserve"> del numeral 192 de la Ley de Transparencia y Acceso a la Información Pública del Estado de México y Municipios,</w:t>
      </w:r>
      <w:r w:rsidR="00013194" w:rsidRPr="00826CF9">
        <w:rPr>
          <w:rFonts w:ascii="Palatino Linotype" w:hAnsi="Palatino Linotype" w:cs="Arial"/>
          <w:sz w:val="24"/>
          <w:szCs w:val="24"/>
        </w:rPr>
        <w:t xml:space="preserve"> dispositivo</w:t>
      </w:r>
      <w:r w:rsidR="002E09CE" w:rsidRPr="00826CF9">
        <w:rPr>
          <w:rFonts w:ascii="Palatino Linotype" w:hAnsi="Palatino Linotype" w:cs="Arial"/>
          <w:sz w:val="24"/>
          <w:szCs w:val="24"/>
        </w:rPr>
        <w:t xml:space="preserve"> legal</w:t>
      </w:r>
      <w:r w:rsidR="00013194" w:rsidRPr="00826CF9">
        <w:rPr>
          <w:rFonts w:ascii="Palatino Linotype" w:hAnsi="Palatino Linotype" w:cs="Arial"/>
          <w:sz w:val="24"/>
          <w:szCs w:val="24"/>
        </w:rPr>
        <w:t xml:space="preserve"> que</w:t>
      </w:r>
      <w:r w:rsidR="00AB50C5" w:rsidRPr="00826CF9">
        <w:rPr>
          <w:rFonts w:ascii="Palatino Linotype" w:hAnsi="Palatino Linotype" w:cs="Arial"/>
          <w:sz w:val="24"/>
          <w:szCs w:val="24"/>
        </w:rPr>
        <w:t xml:space="preserve"> se trae a contexto y que establece de manera literal lo siguiente:</w:t>
      </w:r>
    </w:p>
    <w:p w:rsidR="00FB07E0" w:rsidRPr="00826CF9" w:rsidRDefault="00FB07E0" w:rsidP="00FB07E0">
      <w:pPr>
        <w:pStyle w:val="Prrafodelista"/>
        <w:spacing w:after="0" w:line="360" w:lineRule="auto"/>
        <w:ind w:left="426"/>
        <w:jc w:val="both"/>
        <w:rPr>
          <w:rFonts w:ascii="Palatino Linotype" w:hAnsi="Palatino Linotype" w:cs="Arial"/>
          <w:sz w:val="24"/>
          <w:szCs w:val="24"/>
        </w:rPr>
      </w:pPr>
    </w:p>
    <w:p w:rsidR="00013194" w:rsidRPr="00826CF9" w:rsidRDefault="00F43440" w:rsidP="00F43440">
      <w:pPr>
        <w:spacing w:after="0" w:line="480" w:lineRule="auto"/>
        <w:ind w:left="992" w:right="618"/>
        <w:jc w:val="both"/>
        <w:rPr>
          <w:rFonts w:ascii="Palatino Linotype" w:hAnsi="Palatino Linotype" w:cs="Arial"/>
          <w:i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t>“</w:t>
      </w:r>
      <w:r w:rsidR="00013194" w:rsidRPr="00826CF9">
        <w:rPr>
          <w:rFonts w:ascii="Palatino Linotype" w:hAnsi="Palatino Linotype" w:cs="Arial"/>
          <w:i/>
          <w:sz w:val="24"/>
          <w:szCs w:val="24"/>
        </w:rPr>
        <w:t>Artículo 192. El recurso será sobreseído, en todo o en parte, cuando una vez admitido, se actualicen alguno de los siguientes supuestos:</w:t>
      </w:r>
    </w:p>
    <w:p w:rsidR="00013194" w:rsidRPr="00826CF9" w:rsidRDefault="00013194" w:rsidP="00F43440">
      <w:pPr>
        <w:spacing w:after="0" w:line="480" w:lineRule="auto"/>
        <w:ind w:left="992" w:right="618"/>
        <w:jc w:val="both"/>
        <w:rPr>
          <w:rFonts w:ascii="Palatino Linotype" w:hAnsi="Palatino Linotype" w:cs="Arial"/>
          <w:i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t>...</w:t>
      </w:r>
    </w:p>
    <w:p w:rsidR="00013194" w:rsidRPr="00826CF9" w:rsidRDefault="002E09CE" w:rsidP="00F43440">
      <w:pPr>
        <w:spacing w:after="0" w:line="480" w:lineRule="auto"/>
        <w:ind w:left="992" w:right="618"/>
        <w:jc w:val="both"/>
        <w:rPr>
          <w:rFonts w:ascii="Palatino Linotype" w:hAnsi="Palatino Linotype" w:cs="Arial"/>
          <w:i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t>III. El sujeto obligado responsable del acto lo modifique o revoque de tal manera que el recurso de revisión quede sin materia;</w:t>
      </w:r>
      <w:r w:rsidR="00013194" w:rsidRPr="00826CF9">
        <w:rPr>
          <w:rFonts w:ascii="Palatino Linotype" w:hAnsi="Palatino Linotype" w:cs="Arial"/>
          <w:i/>
          <w:sz w:val="24"/>
          <w:szCs w:val="24"/>
        </w:rPr>
        <w:t xml:space="preserve"> </w:t>
      </w:r>
    </w:p>
    <w:p w:rsidR="00013194" w:rsidRPr="00826CF9" w:rsidRDefault="00013194" w:rsidP="00F43440">
      <w:pPr>
        <w:spacing w:after="0" w:line="480" w:lineRule="auto"/>
        <w:ind w:left="992" w:right="618"/>
        <w:jc w:val="both"/>
        <w:rPr>
          <w:rFonts w:ascii="Palatino Linotype" w:hAnsi="Palatino Linotype" w:cs="Arial"/>
          <w:i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lastRenderedPageBreak/>
        <w:t>...</w:t>
      </w:r>
      <w:r w:rsidR="00F43440" w:rsidRPr="00826CF9">
        <w:rPr>
          <w:rFonts w:ascii="Palatino Linotype" w:hAnsi="Palatino Linotype" w:cs="Arial"/>
          <w:i/>
          <w:sz w:val="24"/>
          <w:szCs w:val="24"/>
        </w:rPr>
        <w:t>”</w:t>
      </w:r>
    </w:p>
    <w:p w:rsidR="00826CF9" w:rsidRPr="00826CF9" w:rsidRDefault="00013194" w:rsidP="00826CF9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/>
          <w:bCs/>
          <w:sz w:val="24"/>
          <w:szCs w:val="24"/>
        </w:rPr>
      </w:pPr>
      <w:r w:rsidRPr="00826CF9">
        <w:rPr>
          <w:rFonts w:ascii="Palatino Linotype" w:hAnsi="Palatino Linotype" w:cs="Arial"/>
          <w:sz w:val="24"/>
          <w:szCs w:val="24"/>
        </w:rPr>
        <w:t xml:space="preserve">De lo anterior, a decir de la ponencia resolutora la causa de improcedencia del recurso de revisión, deviene al no existir relación de la solicitud de información con la </w:t>
      </w:r>
      <w:r w:rsidRPr="00826CF9">
        <w:rPr>
          <w:rFonts w:ascii="Palatino Linotype" w:hAnsi="Palatino Linotype" w:cs="Arial"/>
          <w:i/>
          <w:sz w:val="24"/>
          <w:szCs w:val="24"/>
        </w:rPr>
        <w:t>causa petendi</w:t>
      </w:r>
      <w:r w:rsidRPr="00826CF9">
        <w:rPr>
          <w:rFonts w:ascii="Palatino Linotype" w:hAnsi="Palatino Linotype" w:cs="Arial"/>
          <w:sz w:val="24"/>
          <w:szCs w:val="24"/>
        </w:rPr>
        <w:t xml:space="preserve"> inmersa en el recurso de revisión, en virtud de que se </w:t>
      </w:r>
      <w:r w:rsidR="002E09CE" w:rsidRPr="00826CF9">
        <w:rPr>
          <w:rFonts w:ascii="Palatino Linotype" w:hAnsi="Palatino Linotype" w:cs="Arial"/>
          <w:sz w:val="24"/>
          <w:szCs w:val="24"/>
        </w:rPr>
        <w:t>trata de una consulta</w:t>
      </w:r>
      <w:r w:rsidRPr="00826CF9">
        <w:rPr>
          <w:rFonts w:ascii="Palatino Linotype" w:hAnsi="Palatino Linotype" w:cs="Arial"/>
          <w:sz w:val="24"/>
          <w:szCs w:val="24"/>
        </w:rPr>
        <w:t xml:space="preserve">, </w:t>
      </w:r>
      <w:r w:rsidR="002E09CE" w:rsidRPr="00826CF9">
        <w:rPr>
          <w:rFonts w:ascii="Palatino Linotype" w:hAnsi="Palatino Linotype" w:cs="Arial"/>
          <w:sz w:val="24"/>
          <w:szCs w:val="24"/>
        </w:rPr>
        <w:t>que en nada tiene que ver con el derecho de acceso a la información, el cual es un derecho que versa sobre acceso a documentos y no en el exponer dudas, preguntas o inquietudes</w:t>
      </w:r>
      <w:r w:rsidR="00826CF9" w:rsidRPr="00826CF9">
        <w:rPr>
          <w:rFonts w:ascii="Palatino Linotype" w:hAnsi="Palatino Linotype" w:cs="Arial"/>
          <w:sz w:val="24"/>
          <w:szCs w:val="24"/>
        </w:rPr>
        <w:t xml:space="preserve">; es decir que nos encontramos ante </w:t>
      </w:r>
      <w:r w:rsidR="00826CF9" w:rsidRPr="00826CF9">
        <w:rPr>
          <w:rFonts w:ascii="Palatino Linotype" w:hAnsi="Palatino Linotype"/>
          <w:bCs/>
          <w:sz w:val="24"/>
          <w:szCs w:val="24"/>
        </w:rPr>
        <w:t>la formulación de un derecho de petición, debido a que se tratan cuestionamientos realizados por el entonces solicitante, interrogantes y declaraciones que no se colman con la entrega de documentos, situación que conlleva a afirmar que se está ante la presencia del ejercicio del derecho enunciado.</w:t>
      </w:r>
    </w:p>
    <w:p w:rsidR="00826CF9" w:rsidRPr="00826CF9" w:rsidRDefault="00826CF9" w:rsidP="00826CF9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13194" w:rsidRPr="00826CF9" w:rsidRDefault="00FB07E0" w:rsidP="000957F4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4"/>
          <w:szCs w:val="24"/>
        </w:rPr>
      </w:pPr>
      <w:r w:rsidRPr="00826CF9">
        <w:rPr>
          <w:rFonts w:ascii="Palatino Linotype" w:hAnsi="Palatino Linotype" w:cs="Arial"/>
          <w:sz w:val="24"/>
          <w:szCs w:val="24"/>
        </w:rPr>
        <w:t>Así las cosas</w:t>
      </w:r>
      <w:r w:rsidR="00981194" w:rsidRPr="00826CF9">
        <w:rPr>
          <w:rFonts w:ascii="Palatino Linotype" w:hAnsi="Palatino Linotype" w:cs="Arial"/>
          <w:sz w:val="24"/>
          <w:szCs w:val="24"/>
        </w:rPr>
        <w:t>, considero que</w:t>
      </w:r>
      <w:r w:rsidR="00013194" w:rsidRPr="00826CF9">
        <w:rPr>
          <w:rFonts w:ascii="Palatino Linotype" w:hAnsi="Palatino Linotype" w:cs="Arial"/>
          <w:sz w:val="24"/>
          <w:szCs w:val="24"/>
        </w:rPr>
        <w:t xml:space="preserve"> al ya el Sujeto Obligado esgrimir una contestación qu</w:t>
      </w:r>
      <w:r w:rsidR="00F7597A" w:rsidRPr="00826CF9">
        <w:rPr>
          <w:rFonts w:ascii="Palatino Linotype" w:hAnsi="Palatino Linotype" w:cs="Arial"/>
          <w:sz w:val="24"/>
          <w:szCs w:val="24"/>
        </w:rPr>
        <w:t xml:space="preserve">e desde un inicio </w:t>
      </w:r>
      <w:r w:rsidR="005A1F81" w:rsidRPr="00826CF9">
        <w:rPr>
          <w:rFonts w:ascii="Palatino Linotype" w:hAnsi="Palatino Linotype" w:cs="Arial"/>
          <w:sz w:val="24"/>
          <w:szCs w:val="24"/>
        </w:rPr>
        <w:t>y posteriormente pronunciarse durante el informe justificado</w:t>
      </w:r>
      <w:r w:rsidR="00826CF9">
        <w:rPr>
          <w:rFonts w:ascii="Palatino Linotype" w:hAnsi="Palatino Linotype" w:cs="Arial"/>
          <w:sz w:val="24"/>
          <w:szCs w:val="24"/>
        </w:rPr>
        <w:t xml:space="preserve"> en confirmando la misma</w:t>
      </w:r>
      <w:r w:rsidR="00F7597A" w:rsidRPr="00826CF9">
        <w:rPr>
          <w:rFonts w:ascii="Palatino Linotype" w:hAnsi="Palatino Linotype" w:cs="Arial"/>
          <w:sz w:val="24"/>
          <w:szCs w:val="24"/>
        </w:rPr>
        <w:t xml:space="preserve">, se colige que los motivos de inconformidad del particular devienen infundados y por tanto lo considerablemente correcto debió ser </w:t>
      </w:r>
      <w:r w:rsidR="005A1F81" w:rsidRPr="00826CF9">
        <w:rPr>
          <w:rFonts w:ascii="Palatino Linotype" w:hAnsi="Palatino Linotype" w:cs="Arial"/>
          <w:b/>
          <w:sz w:val="24"/>
          <w:szCs w:val="24"/>
        </w:rPr>
        <w:t>sobreseer</w:t>
      </w:r>
      <w:r w:rsidR="00F7597A" w:rsidRPr="00826CF9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F7597A" w:rsidRPr="00826CF9">
        <w:rPr>
          <w:rFonts w:ascii="Palatino Linotype" w:hAnsi="Palatino Linotype" w:cs="Arial"/>
          <w:sz w:val="24"/>
          <w:szCs w:val="24"/>
        </w:rPr>
        <w:t>la respuesta del Sujeto Obligado</w:t>
      </w:r>
      <w:r w:rsidR="00F7597A" w:rsidRPr="00826CF9">
        <w:rPr>
          <w:rFonts w:ascii="Palatino Linotype" w:hAnsi="Palatino Linotype"/>
          <w:sz w:val="24"/>
          <w:szCs w:val="24"/>
        </w:rPr>
        <w:t xml:space="preserve"> </w:t>
      </w:r>
      <w:r w:rsidR="00F7597A" w:rsidRPr="00826CF9">
        <w:rPr>
          <w:rFonts w:ascii="Palatino Linotype" w:hAnsi="Palatino Linotype" w:cs="Arial"/>
          <w:sz w:val="24"/>
          <w:szCs w:val="24"/>
        </w:rPr>
        <w:t>de conformidad con el artículo 186 fracción II de la Ley de Transparencia y Acceso a la Información Pública de</w:t>
      </w:r>
      <w:r w:rsidR="004E1631" w:rsidRPr="00826CF9">
        <w:rPr>
          <w:rFonts w:ascii="Palatino Linotype" w:hAnsi="Palatino Linotype" w:cs="Arial"/>
          <w:sz w:val="24"/>
          <w:szCs w:val="24"/>
        </w:rPr>
        <w:t>l Estado de México y Municipios, que establece:</w:t>
      </w:r>
    </w:p>
    <w:p w:rsidR="00826CF9" w:rsidRPr="00826CF9" w:rsidRDefault="00826CF9" w:rsidP="00826CF9">
      <w:pPr>
        <w:pStyle w:val="Prrafodelista"/>
        <w:rPr>
          <w:rFonts w:ascii="Palatino Linotype" w:hAnsi="Palatino Linotype" w:cs="Arial"/>
          <w:sz w:val="24"/>
          <w:szCs w:val="24"/>
        </w:rPr>
      </w:pPr>
    </w:p>
    <w:p w:rsidR="004E1631" w:rsidRPr="00826CF9" w:rsidRDefault="00F43440" w:rsidP="00F43440">
      <w:pPr>
        <w:pStyle w:val="Prrafodelista"/>
        <w:spacing w:after="0" w:line="480" w:lineRule="auto"/>
        <w:ind w:left="851"/>
        <w:jc w:val="both"/>
        <w:rPr>
          <w:rFonts w:ascii="Palatino Linotype" w:hAnsi="Palatino Linotype" w:cs="Arial"/>
          <w:i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lastRenderedPageBreak/>
        <w:t>“</w:t>
      </w:r>
      <w:r w:rsidR="004E1631" w:rsidRPr="00826CF9">
        <w:rPr>
          <w:rFonts w:ascii="Palatino Linotype" w:hAnsi="Palatino Linotype" w:cs="Arial"/>
          <w:i/>
          <w:sz w:val="24"/>
          <w:szCs w:val="24"/>
        </w:rPr>
        <w:t>Artículo 186. Las resoluciones del Instituto podrán:</w:t>
      </w:r>
    </w:p>
    <w:p w:rsidR="00F43440" w:rsidRPr="00826CF9" w:rsidRDefault="00F43440" w:rsidP="00F43440">
      <w:pPr>
        <w:pStyle w:val="Prrafodelista"/>
        <w:spacing w:after="0" w:line="480" w:lineRule="auto"/>
        <w:ind w:left="851"/>
        <w:jc w:val="both"/>
        <w:rPr>
          <w:rFonts w:ascii="Palatino Linotype" w:hAnsi="Palatino Linotype" w:cs="Arial"/>
          <w:i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t xml:space="preserve">I. Desechar o </w:t>
      </w:r>
      <w:r w:rsidRPr="00826CF9">
        <w:rPr>
          <w:rFonts w:ascii="Palatino Linotype" w:hAnsi="Palatino Linotype" w:cs="Arial"/>
          <w:b/>
          <w:i/>
          <w:sz w:val="24"/>
          <w:szCs w:val="24"/>
        </w:rPr>
        <w:t>sobreseer</w:t>
      </w:r>
      <w:r w:rsidRPr="00826CF9">
        <w:rPr>
          <w:rFonts w:ascii="Palatino Linotype" w:hAnsi="Palatino Linotype" w:cs="Arial"/>
          <w:i/>
          <w:sz w:val="24"/>
          <w:szCs w:val="24"/>
        </w:rPr>
        <w:t xml:space="preserve"> el recurso;</w:t>
      </w:r>
    </w:p>
    <w:p w:rsidR="004E1631" w:rsidRPr="00826CF9" w:rsidRDefault="004E1631" w:rsidP="00F43440">
      <w:pPr>
        <w:pStyle w:val="Prrafodelista"/>
        <w:spacing w:after="0" w:line="480" w:lineRule="auto"/>
        <w:ind w:left="851"/>
        <w:jc w:val="both"/>
        <w:rPr>
          <w:rFonts w:ascii="Palatino Linotype" w:hAnsi="Palatino Linotype" w:cs="Arial"/>
          <w:i/>
          <w:sz w:val="24"/>
          <w:szCs w:val="24"/>
        </w:rPr>
      </w:pPr>
      <w:r w:rsidRPr="00826CF9">
        <w:rPr>
          <w:rFonts w:ascii="Palatino Linotype" w:hAnsi="Palatino Linotype" w:cs="Arial"/>
          <w:i/>
          <w:sz w:val="24"/>
          <w:szCs w:val="24"/>
        </w:rPr>
        <w:t>...</w:t>
      </w:r>
      <w:r w:rsidR="00F43440" w:rsidRPr="00826CF9">
        <w:rPr>
          <w:rFonts w:ascii="Palatino Linotype" w:hAnsi="Palatino Linotype" w:cs="Arial"/>
          <w:i/>
          <w:sz w:val="24"/>
          <w:szCs w:val="24"/>
        </w:rPr>
        <w:t>”</w:t>
      </w:r>
    </w:p>
    <w:p w:rsidR="00826CF9" w:rsidRPr="00826CF9" w:rsidRDefault="00826CF9" w:rsidP="00826CF9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332733" w:rsidRPr="00826CF9" w:rsidRDefault="00981194" w:rsidP="00B910B2">
      <w:pPr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4"/>
          <w:szCs w:val="24"/>
        </w:rPr>
      </w:pPr>
      <w:r w:rsidRPr="00826CF9">
        <w:rPr>
          <w:rFonts w:ascii="Palatino Linotype" w:hAnsi="Palatino Linotype" w:cs="Arial"/>
          <w:sz w:val="24"/>
          <w:szCs w:val="24"/>
        </w:rPr>
        <w:t>En ese tenor, considero e</w:t>
      </w:r>
      <w:r w:rsidR="00332733" w:rsidRPr="00826CF9">
        <w:rPr>
          <w:rFonts w:ascii="Palatino Linotype" w:hAnsi="Palatino Linotype" w:cs="Arial"/>
          <w:sz w:val="24"/>
          <w:szCs w:val="24"/>
        </w:rPr>
        <w:t xml:space="preserve">ste Órgano Garante debe revisar en forma minuciosa en todos los casos, </w:t>
      </w:r>
      <w:r w:rsidRPr="00826CF9">
        <w:rPr>
          <w:rFonts w:ascii="Palatino Linotype" w:hAnsi="Palatino Linotype" w:cs="Arial"/>
          <w:sz w:val="24"/>
          <w:szCs w:val="24"/>
        </w:rPr>
        <w:t>así como las constancias que obran en el expediente en que se actúa dentro del sistema SAIMEX</w:t>
      </w:r>
      <w:r w:rsidR="002B10C2" w:rsidRPr="00826CF9">
        <w:rPr>
          <w:rFonts w:ascii="Palatino Linotype" w:hAnsi="Palatino Linotype" w:cs="Arial"/>
          <w:sz w:val="24"/>
          <w:szCs w:val="24"/>
        </w:rPr>
        <w:t>.</w:t>
      </w:r>
      <w:r w:rsidR="00332733" w:rsidRPr="00826CF9">
        <w:rPr>
          <w:rFonts w:ascii="Palatino Linotype" w:hAnsi="Palatino Linotype" w:cs="Arial"/>
          <w:sz w:val="24"/>
          <w:szCs w:val="24"/>
        </w:rPr>
        <w:t xml:space="preserve"> Además de ser un Órgano Garante, somos un Órgano Revisor y en ese sentido no podemos pasar inadvertido </w:t>
      </w:r>
      <w:r w:rsidRPr="00826CF9">
        <w:rPr>
          <w:rFonts w:ascii="Palatino Linotype" w:hAnsi="Palatino Linotype" w:cs="Arial"/>
          <w:sz w:val="24"/>
          <w:szCs w:val="24"/>
        </w:rPr>
        <w:t>cuando un Sujeto Obligado desde un inicio realiza el esfuerzo de dar contestación a cabalidad a las solicitudes formuladas por los particulares</w:t>
      </w:r>
      <w:r w:rsidR="0029579D" w:rsidRPr="00826CF9">
        <w:rPr>
          <w:rFonts w:ascii="Palatino Linotype" w:hAnsi="Palatino Linotype" w:cs="Arial"/>
          <w:sz w:val="24"/>
          <w:szCs w:val="24"/>
        </w:rPr>
        <w:t>.</w:t>
      </w:r>
    </w:p>
    <w:p w:rsidR="00D448AF" w:rsidRPr="00826CF9" w:rsidRDefault="00D448AF" w:rsidP="00D448AF">
      <w:pPr>
        <w:jc w:val="both"/>
        <w:rPr>
          <w:rFonts w:ascii="Palatino Linotype" w:hAnsi="Palatino Linotype"/>
          <w:sz w:val="24"/>
          <w:szCs w:val="24"/>
        </w:rPr>
      </w:pPr>
    </w:p>
    <w:p w:rsidR="00D448AF" w:rsidRPr="00826CF9" w:rsidRDefault="00D448AF" w:rsidP="00F96FBD">
      <w:pPr>
        <w:jc w:val="center"/>
        <w:rPr>
          <w:rFonts w:ascii="Palatino Linotype" w:hAnsi="Palatino Linotype"/>
          <w:b/>
          <w:sz w:val="24"/>
          <w:szCs w:val="24"/>
        </w:rPr>
      </w:pPr>
      <w:r w:rsidRPr="00826CF9">
        <w:rPr>
          <w:rFonts w:ascii="Palatino Linotype" w:hAnsi="Palatino Linotype"/>
          <w:b/>
          <w:sz w:val="24"/>
          <w:szCs w:val="24"/>
        </w:rPr>
        <w:t>JOSÉ GUADALUPE LUNA HERNÁNDEZ</w:t>
      </w:r>
    </w:p>
    <w:p w:rsidR="00D448AF" w:rsidRPr="00826CF9" w:rsidRDefault="00D448AF" w:rsidP="00F96FBD">
      <w:pPr>
        <w:jc w:val="center"/>
        <w:rPr>
          <w:rFonts w:ascii="Palatino Linotype" w:hAnsi="Palatino Linotype"/>
          <w:b/>
          <w:sz w:val="24"/>
          <w:szCs w:val="24"/>
        </w:rPr>
      </w:pPr>
      <w:r w:rsidRPr="00826CF9">
        <w:rPr>
          <w:rFonts w:ascii="Palatino Linotype" w:hAnsi="Palatino Linotype"/>
          <w:b/>
          <w:sz w:val="24"/>
          <w:szCs w:val="24"/>
        </w:rPr>
        <w:t>COMISIONADO</w:t>
      </w:r>
    </w:p>
    <w:sectPr w:rsidR="00D448AF" w:rsidRPr="00826CF9" w:rsidSect="00BB488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495" w:right="1701" w:bottom="249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7C" w:rsidRDefault="00AE467C" w:rsidP="00E82D3D">
      <w:pPr>
        <w:spacing w:after="0" w:line="240" w:lineRule="auto"/>
      </w:pPr>
      <w:r>
        <w:separator/>
      </w:r>
    </w:p>
  </w:endnote>
  <w:endnote w:type="continuationSeparator" w:id="0">
    <w:p w:rsidR="00AE467C" w:rsidRDefault="00AE467C" w:rsidP="00E8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097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B2A" w:rsidRDefault="00413B2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A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A8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3B2A" w:rsidRDefault="00413B2A" w:rsidP="00BB488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7C" w:rsidRDefault="00AE467C" w:rsidP="00E82D3D">
      <w:pPr>
        <w:spacing w:after="0" w:line="240" w:lineRule="auto"/>
      </w:pPr>
      <w:r>
        <w:separator/>
      </w:r>
    </w:p>
  </w:footnote>
  <w:footnote w:type="continuationSeparator" w:id="0">
    <w:p w:rsidR="00AE467C" w:rsidRDefault="00AE467C" w:rsidP="00E8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2A" w:rsidRDefault="00AE467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5" o:spid="_x0000_s2049" type="#_x0000_t136" style="position:absolute;margin-left:0;margin-top:0;width:557.4pt;height:65.5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2A" w:rsidRDefault="00AE467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6" o:spid="_x0000_s2050" type="#_x0000_t136" style="position:absolute;margin-left:0;margin-top:0;width:557.4pt;height:65.55pt;rotation:315;z-index:-251656192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  <w:p w:rsidR="00413B2A" w:rsidRDefault="00413B2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2A" w:rsidRDefault="00AE467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4" o:spid="_x0000_s2051" type="#_x0000_t136" style="position:absolute;margin-left:0;margin-top:0;width:557.4pt;height:65.5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B24"/>
    <w:multiLevelType w:val="hybridMultilevel"/>
    <w:tmpl w:val="5F8E21D4"/>
    <w:lvl w:ilvl="0" w:tplc="9104EB86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4637"/>
    <w:multiLevelType w:val="hybridMultilevel"/>
    <w:tmpl w:val="B85C52AA"/>
    <w:lvl w:ilvl="0" w:tplc="66625C9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7DB"/>
    <w:multiLevelType w:val="hybridMultilevel"/>
    <w:tmpl w:val="30F0F3B4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7E3AE2"/>
    <w:multiLevelType w:val="hybridMultilevel"/>
    <w:tmpl w:val="5ADE86AC"/>
    <w:lvl w:ilvl="0" w:tplc="F9C6DE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536C8"/>
    <w:multiLevelType w:val="hybridMultilevel"/>
    <w:tmpl w:val="90EEA5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E2722"/>
    <w:multiLevelType w:val="hybridMultilevel"/>
    <w:tmpl w:val="2F66C16C"/>
    <w:lvl w:ilvl="0" w:tplc="F8C67A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61CC"/>
    <w:multiLevelType w:val="hybridMultilevel"/>
    <w:tmpl w:val="18640776"/>
    <w:styleLink w:val="Estiloimportado2"/>
    <w:lvl w:ilvl="0" w:tplc="82300D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0727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589C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82AF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FA7FF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FCDF7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5A724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7A20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6906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F7E15A5"/>
    <w:multiLevelType w:val="hybridMultilevel"/>
    <w:tmpl w:val="11263C4A"/>
    <w:lvl w:ilvl="0" w:tplc="3C2E20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E5810"/>
    <w:multiLevelType w:val="hybridMultilevel"/>
    <w:tmpl w:val="A23C67D2"/>
    <w:lvl w:ilvl="0" w:tplc="CACA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661F8"/>
    <w:multiLevelType w:val="hybridMultilevel"/>
    <w:tmpl w:val="87F424B2"/>
    <w:lvl w:ilvl="0" w:tplc="228CA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14A29"/>
    <w:multiLevelType w:val="hybridMultilevel"/>
    <w:tmpl w:val="9F948E86"/>
    <w:lvl w:ilvl="0" w:tplc="6FB87EE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541D6"/>
    <w:multiLevelType w:val="hybridMultilevel"/>
    <w:tmpl w:val="F7DA2E08"/>
    <w:lvl w:ilvl="0" w:tplc="A578737A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1F14"/>
    <w:multiLevelType w:val="hybridMultilevel"/>
    <w:tmpl w:val="C5A629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324E1"/>
    <w:multiLevelType w:val="hybridMultilevel"/>
    <w:tmpl w:val="A96E8864"/>
    <w:lvl w:ilvl="0" w:tplc="F3AE1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A3428"/>
    <w:multiLevelType w:val="hybridMultilevel"/>
    <w:tmpl w:val="E2ACA212"/>
    <w:lvl w:ilvl="0" w:tplc="30C43C30">
      <w:start w:val="4"/>
      <w:numFmt w:val="upperRoman"/>
      <w:lvlText w:val="%1."/>
      <w:lvlJc w:val="left"/>
      <w:pPr>
        <w:ind w:left="1080" w:hanging="720"/>
      </w:pPr>
      <w:rPr>
        <w:rFonts w:ascii="Palatino Linotype" w:eastAsiaTheme="majorEastAsia" w:hAnsi="Palatino Linotype" w:cstheme="majorBidi"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202FA"/>
    <w:multiLevelType w:val="hybridMultilevel"/>
    <w:tmpl w:val="4B380CA8"/>
    <w:lvl w:ilvl="0" w:tplc="FE360A3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43F22"/>
    <w:multiLevelType w:val="hybridMultilevel"/>
    <w:tmpl w:val="80FA8D66"/>
    <w:lvl w:ilvl="0" w:tplc="96A475CC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874"/>
    <w:multiLevelType w:val="hybridMultilevel"/>
    <w:tmpl w:val="AE5209A0"/>
    <w:lvl w:ilvl="0" w:tplc="319228BA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57DB9"/>
    <w:multiLevelType w:val="hybridMultilevel"/>
    <w:tmpl w:val="18640776"/>
    <w:numStyleLink w:val="Estiloimportado2"/>
  </w:abstractNum>
  <w:abstractNum w:abstractNumId="19" w15:restartNumberingAfterBreak="0">
    <w:nsid w:val="5F4D54A8"/>
    <w:multiLevelType w:val="hybridMultilevel"/>
    <w:tmpl w:val="54C8F64C"/>
    <w:lvl w:ilvl="0" w:tplc="20BE97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5529E6"/>
    <w:multiLevelType w:val="hybridMultilevel"/>
    <w:tmpl w:val="85C09A10"/>
    <w:lvl w:ilvl="0" w:tplc="83DCF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448C"/>
    <w:multiLevelType w:val="hybridMultilevel"/>
    <w:tmpl w:val="92007F68"/>
    <w:lvl w:ilvl="0" w:tplc="04EAC5B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2758E"/>
    <w:multiLevelType w:val="hybridMultilevel"/>
    <w:tmpl w:val="973074AC"/>
    <w:lvl w:ilvl="0" w:tplc="545A6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60720"/>
    <w:multiLevelType w:val="hybridMultilevel"/>
    <w:tmpl w:val="ED2A17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934E6"/>
    <w:multiLevelType w:val="hybridMultilevel"/>
    <w:tmpl w:val="10FE3B0A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1"/>
  </w:num>
  <w:num w:numId="5">
    <w:abstractNumId w:val="20"/>
  </w:num>
  <w:num w:numId="6">
    <w:abstractNumId w:val="4"/>
  </w:num>
  <w:num w:numId="7">
    <w:abstractNumId w:val="24"/>
  </w:num>
  <w:num w:numId="8">
    <w:abstractNumId w:val="15"/>
  </w:num>
  <w:num w:numId="9">
    <w:abstractNumId w:val="23"/>
  </w:num>
  <w:num w:numId="10">
    <w:abstractNumId w:val="8"/>
  </w:num>
  <w:num w:numId="11">
    <w:abstractNumId w:val="22"/>
  </w:num>
  <w:num w:numId="12">
    <w:abstractNumId w:val="13"/>
  </w:num>
  <w:num w:numId="13">
    <w:abstractNumId w:val="3"/>
  </w:num>
  <w:num w:numId="14">
    <w:abstractNumId w:val="19"/>
  </w:num>
  <w:num w:numId="15">
    <w:abstractNumId w:val="2"/>
  </w:num>
  <w:num w:numId="16">
    <w:abstractNumId w:val="12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0"/>
  </w:num>
  <w:num w:numId="22">
    <w:abstractNumId w:val="16"/>
  </w:num>
  <w:num w:numId="23">
    <w:abstractNumId w:val="10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3D"/>
    <w:rsid w:val="0000236C"/>
    <w:rsid w:val="00013194"/>
    <w:rsid w:val="00096CC2"/>
    <w:rsid w:val="000D6ED7"/>
    <w:rsid w:val="00100EDF"/>
    <w:rsid w:val="00102360"/>
    <w:rsid w:val="00114666"/>
    <w:rsid w:val="001240A5"/>
    <w:rsid w:val="001732F0"/>
    <w:rsid w:val="001B19B4"/>
    <w:rsid w:val="00267B25"/>
    <w:rsid w:val="0029579D"/>
    <w:rsid w:val="002B10C2"/>
    <w:rsid w:val="002C3669"/>
    <w:rsid w:val="002E09CE"/>
    <w:rsid w:val="002E3ED2"/>
    <w:rsid w:val="002F79FF"/>
    <w:rsid w:val="003258B6"/>
    <w:rsid w:val="00332733"/>
    <w:rsid w:val="00344727"/>
    <w:rsid w:val="003529B3"/>
    <w:rsid w:val="00384DBA"/>
    <w:rsid w:val="00396AAF"/>
    <w:rsid w:val="003C2F42"/>
    <w:rsid w:val="004022D0"/>
    <w:rsid w:val="00413B2A"/>
    <w:rsid w:val="00442ECA"/>
    <w:rsid w:val="0048628E"/>
    <w:rsid w:val="004B06F1"/>
    <w:rsid w:val="004C0D03"/>
    <w:rsid w:val="004E01B2"/>
    <w:rsid w:val="004E1631"/>
    <w:rsid w:val="005556CA"/>
    <w:rsid w:val="005A1F81"/>
    <w:rsid w:val="005A77E1"/>
    <w:rsid w:val="005F30BC"/>
    <w:rsid w:val="00617ACF"/>
    <w:rsid w:val="00624990"/>
    <w:rsid w:val="0064684A"/>
    <w:rsid w:val="00656CAC"/>
    <w:rsid w:val="006633F6"/>
    <w:rsid w:val="006C6CF8"/>
    <w:rsid w:val="006F0A01"/>
    <w:rsid w:val="00785427"/>
    <w:rsid w:val="00797A31"/>
    <w:rsid w:val="007A3D73"/>
    <w:rsid w:val="007D037D"/>
    <w:rsid w:val="007E0D13"/>
    <w:rsid w:val="007F7A8D"/>
    <w:rsid w:val="00807E40"/>
    <w:rsid w:val="00826CF9"/>
    <w:rsid w:val="0083137A"/>
    <w:rsid w:val="00834CB5"/>
    <w:rsid w:val="008444E2"/>
    <w:rsid w:val="008D0FE7"/>
    <w:rsid w:val="008D40E5"/>
    <w:rsid w:val="008E2027"/>
    <w:rsid w:val="008F6112"/>
    <w:rsid w:val="0094344F"/>
    <w:rsid w:val="0096317E"/>
    <w:rsid w:val="00981194"/>
    <w:rsid w:val="00985FB2"/>
    <w:rsid w:val="009A2D39"/>
    <w:rsid w:val="009C7FF0"/>
    <w:rsid w:val="00AB50C5"/>
    <w:rsid w:val="00AB5E6D"/>
    <w:rsid w:val="00AE467C"/>
    <w:rsid w:val="00B05484"/>
    <w:rsid w:val="00B1612B"/>
    <w:rsid w:val="00B519E4"/>
    <w:rsid w:val="00B81020"/>
    <w:rsid w:val="00B8297B"/>
    <w:rsid w:val="00B866AF"/>
    <w:rsid w:val="00B910B2"/>
    <w:rsid w:val="00B9285A"/>
    <w:rsid w:val="00BB488C"/>
    <w:rsid w:val="00BC0D82"/>
    <w:rsid w:val="00C753D8"/>
    <w:rsid w:val="00C85F11"/>
    <w:rsid w:val="00CA2B8E"/>
    <w:rsid w:val="00CC7CC1"/>
    <w:rsid w:val="00CE6C1B"/>
    <w:rsid w:val="00CF0462"/>
    <w:rsid w:val="00D448AF"/>
    <w:rsid w:val="00D61660"/>
    <w:rsid w:val="00DD14BB"/>
    <w:rsid w:val="00DE7A32"/>
    <w:rsid w:val="00E30A9B"/>
    <w:rsid w:val="00E82D3D"/>
    <w:rsid w:val="00E91B11"/>
    <w:rsid w:val="00E92F1B"/>
    <w:rsid w:val="00E969A6"/>
    <w:rsid w:val="00F30EE8"/>
    <w:rsid w:val="00F43440"/>
    <w:rsid w:val="00F43F3D"/>
    <w:rsid w:val="00F7597A"/>
    <w:rsid w:val="00F82F68"/>
    <w:rsid w:val="00F96FBD"/>
    <w:rsid w:val="00FB07E0"/>
    <w:rsid w:val="00FC4C24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FE2A249-A106-482D-AF60-ED48C88A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32"/>
  </w:style>
  <w:style w:type="paragraph" w:styleId="Ttulo1">
    <w:name w:val="heading 1"/>
    <w:basedOn w:val="Normal"/>
    <w:next w:val="Normal"/>
    <w:link w:val="Ttulo1Car"/>
    <w:uiPriority w:val="9"/>
    <w:qFormat/>
    <w:rsid w:val="00D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82D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D3D"/>
    <w:rPr>
      <w:sz w:val="20"/>
      <w:szCs w:val="20"/>
    </w:rPr>
  </w:style>
  <w:style w:type="character" w:styleId="Refdenotaalpie">
    <w:name w:val="footnote reference"/>
    <w:aliases w:val="Footnotes refss,Texto de nota al pie,Ref. de nota al pie 2,Appel note de bas de page,referencia nota al pie,BVI fnr,Footnote number,f,4_G,16 Point,Superscript 6 Point,Texto nota al pie,Footnote Reference Char3,Ref,de nota al pie,註腳內容"/>
    <w:basedOn w:val="Fuentedeprrafopredeter"/>
    <w:uiPriority w:val="99"/>
    <w:unhideWhenUsed/>
    <w:rsid w:val="00E82D3D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E82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D3D"/>
  </w:style>
  <w:style w:type="paragraph" w:styleId="Encabezado">
    <w:name w:val="header"/>
    <w:basedOn w:val="Normal"/>
    <w:link w:val="EncabezadoCar"/>
    <w:uiPriority w:val="99"/>
    <w:unhideWhenUsed/>
    <w:rsid w:val="00E82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D3D"/>
  </w:style>
  <w:style w:type="paragraph" w:styleId="Prrafodelista">
    <w:name w:val="List Paragraph"/>
    <w:basedOn w:val="Normal"/>
    <w:link w:val="PrrafodelistaCar"/>
    <w:uiPriority w:val="72"/>
    <w:qFormat/>
    <w:rsid w:val="009A2D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9B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rafodelistaCar">
    <w:name w:val="Párrafo de lista Car"/>
    <w:link w:val="Prrafodelista"/>
    <w:uiPriority w:val="72"/>
    <w:locked/>
    <w:rsid w:val="00DE7A32"/>
  </w:style>
  <w:style w:type="paragraph" w:styleId="Sinespaciado">
    <w:name w:val="No Spacing"/>
    <w:aliases w:val="Francesa"/>
    <w:link w:val="SinespaciadoCar"/>
    <w:uiPriority w:val="1"/>
    <w:qFormat/>
    <w:rsid w:val="00DE7A32"/>
    <w:pPr>
      <w:spacing w:after="0"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DE7A32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A77E1"/>
    <w:pPr>
      <w:tabs>
        <w:tab w:val="left" w:pos="440"/>
        <w:tab w:val="right" w:leader="dot" w:pos="8828"/>
      </w:tabs>
      <w:spacing w:after="100" w:line="480" w:lineRule="auto"/>
      <w:ind w:left="426" w:hanging="426"/>
    </w:pPr>
  </w:style>
  <w:style w:type="character" w:styleId="Hipervnculo">
    <w:name w:val="Hyperlink"/>
    <w:basedOn w:val="Fuentedeprrafopredeter"/>
    <w:uiPriority w:val="99"/>
    <w:unhideWhenUsed/>
    <w:rsid w:val="00DE7A32"/>
    <w:rPr>
      <w:color w:val="0563C1" w:themeColor="hyperlink"/>
      <w:u w:val="single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DE7A32"/>
  </w:style>
  <w:style w:type="paragraph" w:customStyle="1" w:styleId="Cuerpo">
    <w:name w:val="Cuerpo"/>
    <w:rsid w:val="008D0F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es-ES"/>
    </w:rPr>
  </w:style>
  <w:style w:type="character" w:customStyle="1" w:styleId="Ninguno">
    <w:name w:val="Ninguno"/>
    <w:rsid w:val="008D0FE7"/>
    <w:rPr>
      <w:lang w:val="es-ES_tradnl"/>
    </w:rPr>
  </w:style>
  <w:style w:type="numbering" w:customStyle="1" w:styleId="Estiloimportado2">
    <w:name w:val="Estilo importado 2"/>
    <w:rsid w:val="008D0FE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03B8-6DE0-47D2-B91D-BB4843D9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INFOEM</cp:lastModifiedBy>
  <cp:revision>2</cp:revision>
  <cp:lastPrinted>2019-08-05T22:15:00Z</cp:lastPrinted>
  <dcterms:created xsi:type="dcterms:W3CDTF">2019-08-21T17:36:00Z</dcterms:created>
  <dcterms:modified xsi:type="dcterms:W3CDTF">2019-08-21T17:36:00Z</dcterms:modified>
</cp:coreProperties>
</file>